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578" w:rsidRPr="001A7413" w:rsidRDefault="00325A49" w:rsidP="00CF7A89">
      <w:pPr>
        <w:pBdr>
          <w:bottom w:val="single" w:sz="4" w:space="1" w:color="auto"/>
        </w:pBdr>
        <w:spacing w:line="276" w:lineRule="auto"/>
        <w:jc w:val="center"/>
        <w:rPr>
          <w:b/>
          <w:bCs/>
        </w:rPr>
      </w:pPr>
      <w:bookmarkStart w:id="0" w:name="_GoBack"/>
      <w:bookmarkEnd w:id="0"/>
      <w:r>
        <w:rPr>
          <w:b/>
          <w:bCs/>
        </w:rPr>
        <w:t xml:space="preserve">PROPUESTAS PARA EL </w:t>
      </w:r>
      <w:r w:rsidR="00B33578" w:rsidRPr="001A7413">
        <w:rPr>
          <w:b/>
          <w:bCs/>
        </w:rPr>
        <w:t>P</w:t>
      </w:r>
      <w:r w:rsidR="00B33578">
        <w:rPr>
          <w:b/>
          <w:bCs/>
        </w:rPr>
        <w:t xml:space="preserve">LAN </w:t>
      </w:r>
      <w:r w:rsidR="00B33578" w:rsidRPr="001A7413">
        <w:rPr>
          <w:b/>
          <w:bCs/>
        </w:rPr>
        <w:t>D</w:t>
      </w:r>
      <w:r w:rsidR="00B33578">
        <w:rPr>
          <w:b/>
          <w:bCs/>
        </w:rPr>
        <w:t xml:space="preserve">IRECTOR </w:t>
      </w:r>
      <w:r w:rsidR="00B33578" w:rsidRPr="001A7413">
        <w:rPr>
          <w:b/>
          <w:bCs/>
        </w:rPr>
        <w:t xml:space="preserve"> </w:t>
      </w:r>
      <w:r w:rsidR="00B33578">
        <w:rPr>
          <w:b/>
          <w:bCs/>
        </w:rPr>
        <w:t>DE LA COOPERACIÓN NAVARRA 2018-2021</w:t>
      </w:r>
    </w:p>
    <w:p w:rsidR="00325A49" w:rsidRDefault="00325A49" w:rsidP="00CF7A89">
      <w:pPr>
        <w:spacing w:line="276" w:lineRule="auto"/>
        <w:jc w:val="both"/>
        <w:rPr>
          <w:rFonts w:ascii="Trebuchet MS" w:hAnsi="Trebuchet MS"/>
          <w:b/>
          <w:sz w:val="20"/>
          <w:szCs w:val="20"/>
        </w:rPr>
      </w:pPr>
    </w:p>
    <w:p w:rsidR="00325A49" w:rsidRDefault="00325A49" w:rsidP="00CF7A89">
      <w:pPr>
        <w:spacing w:line="276" w:lineRule="auto"/>
        <w:jc w:val="both"/>
        <w:rPr>
          <w:rFonts w:ascii="Trebuchet MS" w:hAnsi="Trebuchet MS"/>
          <w:b/>
          <w:sz w:val="20"/>
          <w:szCs w:val="20"/>
        </w:rPr>
      </w:pPr>
    </w:p>
    <w:p w:rsidR="00B33578" w:rsidRPr="006C026D" w:rsidRDefault="006C026D" w:rsidP="00CF7A89">
      <w:pPr>
        <w:pStyle w:val="Prrafodelista"/>
        <w:numPr>
          <w:ilvl w:val="0"/>
          <w:numId w:val="3"/>
        </w:numPr>
        <w:spacing w:line="276" w:lineRule="auto"/>
        <w:jc w:val="both"/>
        <w:rPr>
          <w:rFonts w:ascii="Trebuchet MS" w:hAnsi="Trebuchet MS"/>
          <w:b/>
          <w:sz w:val="20"/>
          <w:szCs w:val="20"/>
        </w:rPr>
      </w:pPr>
      <w:r>
        <w:rPr>
          <w:rFonts w:ascii="Trebuchet MS" w:hAnsi="Trebuchet MS"/>
          <w:b/>
          <w:sz w:val="20"/>
          <w:szCs w:val="20"/>
        </w:rPr>
        <w:t xml:space="preserve">PRIORIDADES GEOGRÁFICAS: </w:t>
      </w:r>
      <w:r w:rsidRPr="006C026D">
        <w:rPr>
          <w:rFonts w:ascii="Trebuchet MS" w:hAnsi="Trebuchet MS"/>
          <w:b/>
          <w:sz w:val="20"/>
          <w:szCs w:val="20"/>
        </w:rPr>
        <w:t>INCLUIR INDIA COMO PAÍS PRIORITARIO, O EN SU DEFECTO EL ESTADO DE ANDHRA PRADESH</w:t>
      </w:r>
    </w:p>
    <w:p w:rsidR="00075C0E" w:rsidRDefault="00075C0E" w:rsidP="00CF7A89">
      <w:pPr>
        <w:shd w:val="clear" w:color="auto" w:fill="FFFFFF" w:themeFill="background1"/>
        <w:spacing w:line="276" w:lineRule="auto"/>
        <w:jc w:val="both"/>
        <w:rPr>
          <w:rFonts w:ascii="Trebuchet MS" w:hAnsi="Trebuchet MS"/>
          <w:sz w:val="20"/>
          <w:szCs w:val="20"/>
        </w:rPr>
      </w:pPr>
    </w:p>
    <w:p w:rsidR="00765CE1" w:rsidRPr="00D16A6E" w:rsidRDefault="00765CE1" w:rsidP="00CF7A89">
      <w:pPr>
        <w:spacing w:line="276" w:lineRule="auto"/>
        <w:jc w:val="both"/>
        <w:rPr>
          <w:rFonts w:ascii="Trebuchet MS" w:hAnsi="Trebuchet MS"/>
          <w:sz w:val="20"/>
          <w:szCs w:val="20"/>
        </w:rPr>
      </w:pPr>
      <w:r>
        <w:rPr>
          <w:rFonts w:ascii="Trebuchet MS" w:hAnsi="Trebuchet MS"/>
          <w:sz w:val="20"/>
          <w:szCs w:val="20"/>
        </w:rPr>
        <w:t>Consideramos</w:t>
      </w:r>
      <w:r w:rsidRPr="00D16A6E">
        <w:rPr>
          <w:rFonts w:ascii="Trebuchet MS" w:hAnsi="Trebuchet MS"/>
          <w:sz w:val="20"/>
          <w:szCs w:val="20"/>
        </w:rPr>
        <w:t xml:space="preserve"> que es de justicia y equidad incluir a la India como país prioritario</w:t>
      </w:r>
      <w:r>
        <w:rPr>
          <w:rFonts w:ascii="Trebuchet MS" w:hAnsi="Trebuchet MS"/>
          <w:sz w:val="20"/>
          <w:szCs w:val="20"/>
        </w:rPr>
        <w:t xml:space="preserve"> en</w:t>
      </w:r>
      <w:r w:rsidRPr="002A0700">
        <w:rPr>
          <w:rFonts w:ascii="Trebuchet MS" w:hAnsi="Trebuchet MS"/>
          <w:sz w:val="20"/>
          <w:szCs w:val="20"/>
        </w:rPr>
        <w:t xml:space="preserve"> cualquier política de cooperación internacional al desarrollo.</w:t>
      </w:r>
    </w:p>
    <w:p w:rsidR="00765CE1" w:rsidRDefault="00765CE1" w:rsidP="00CF7A89">
      <w:pPr>
        <w:shd w:val="clear" w:color="auto" w:fill="FFFFFF" w:themeFill="background1"/>
        <w:spacing w:line="276" w:lineRule="auto"/>
        <w:jc w:val="both"/>
        <w:rPr>
          <w:rFonts w:ascii="Trebuchet MS" w:hAnsi="Trebuchet MS"/>
          <w:sz w:val="20"/>
          <w:szCs w:val="20"/>
        </w:rPr>
      </w:pPr>
    </w:p>
    <w:p w:rsidR="00EC0714" w:rsidRDefault="00325A49" w:rsidP="00CF7A89">
      <w:pPr>
        <w:shd w:val="clear" w:color="auto" w:fill="FFFFFF" w:themeFill="background1"/>
        <w:spacing w:line="276" w:lineRule="auto"/>
        <w:jc w:val="both"/>
        <w:rPr>
          <w:rFonts w:ascii="Trebuchet MS" w:hAnsi="Trebuchet MS"/>
          <w:sz w:val="20"/>
          <w:szCs w:val="20"/>
        </w:rPr>
      </w:pPr>
      <w:r>
        <w:rPr>
          <w:rFonts w:ascii="Trebuchet MS" w:hAnsi="Trebuchet MS"/>
          <w:sz w:val="20"/>
          <w:szCs w:val="20"/>
        </w:rPr>
        <w:t xml:space="preserve">Pese a que India es un país emergente de IDH medio, es un país </w:t>
      </w:r>
      <w:r w:rsidR="00214FD3">
        <w:rPr>
          <w:rFonts w:ascii="Trebuchet MS" w:hAnsi="Trebuchet MS"/>
          <w:sz w:val="20"/>
          <w:szCs w:val="20"/>
        </w:rPr>
        <w:t xml:space="preserve"> inmenso (re</w:t>
      </w:r>
      <w:r w:rsidR="00214FD3" w:rsidRPr="00180541">
        <w:rPr>
          <w:rFonts w:ascii="Trebuchet MS" w:hAnsi="Trebuchet MS"/>
          <w:sz w:val="20"/>
          <w:szCs w:val="20"/>
        </w:rPr>
        <w:t>presenta</w:t>
      </w:r>
      <w:r w:rsidR="00214FD3">
        <w:rPr>
          <w:rFonts w:ascii="Trebuchet MS" w:hAnsi="Trebuchet MS"/>
          <w:sz w:val="20"/>
          <w:szCs w:val="20"/>
        </w:rPr>
        <w:t xml:space="preserve"> el </w:t>
      </w:r>
      <w:r w:rsidR="00214FD3" w:rsidRPr="00180541">
        <w:rPr>
          <w:rFonts w:ascii="Trebuchet MS" w:hAnsi="Trebuchet MS"/>
          <w:sz w:val="20"/>
          <w:szCs w:val="20"/>
        </w:rPr>
        <w:t xml:space="preserve">73,64% de la </w:t>
      </w:r>
      <w:r w:rsidR="00765CE1">
        <w:rPr>
          <w:rFonts w:ascii="Trebuchet MS" w:hAnsi="Trebuchet MS"/>
          <w:sz w:val="20"/>
          <w:szCs w:val="20"/>
        </w:rPr>
        <w:t xml:space="preserve">superficie de la </w:t>
      </w:r>
      <w:r w:rsidR="00214FD3" w:rsidRPr="00180541">
        <w:rPr>
          <w:rFonts w:ascii="Trebuchet MS" w:hAnsi="Trebuchet MS"/>
          <w:sz w:val="20"/>
          <w:szCs w:val="20"/>
        </w:rPr>
        <w:t>Unión Europea</w:t>
      </w:r>
      <w:r w:rsidR="00214FD3" w:rsidRPr="004538E5">
        <w:rPr>
          <w:rStyle w:val="Refdenotaalpie"/>
          <w:rFonts w:asciiTheme="minorHAnsi" w:hAnsiTheme="minorHAnsi"/>
          <w:sz w:val="22"/>
          <w:szCs w:val="22"/>
        </w:rPr>
        <w:footnoteReference w:id="1"/>
      </w:r>
      <w:r w:rsidR="00214FD3" w:rsidRPr="00180541">
        <w:rPr>
          <w:rFonts w:ascii="Trebuchet MS" w:hAnsi="Trebuchet MS"/>
          <w:sz w:val="20"/>
          <w:szCs w:val="20"/>
        </w:rPr>
        <w:t xml:space="preserve"> </w:t>
      </w:r>
      <w:r w:rsidR="00214FD3">
        <w:rPr>
          <w:rFonts w:ascii="Trebuchet MS" w:hAnsi="Trebuchet MS"/>
          <w:sz w:val="20"/>
          <w:szCs w:val="20"/>
        </w:rPr>
        <w:t xml:space="preserve">de los veintiocho), </w:t>
      </w:r>
      <w:r>
        <w:rPr>
          <w:rFonts w:ascii="Trebuchet MS" w:hAnsi="Trebuchet MS"/>
          <w:sz w:val="20"/>
          <w:szCs w:val="20"/>
        </w:rPr>
        <w:t xml:space="preserve">superpoblado </w:t>
      </w:r>
      <w:r w:rsidR="00765CE1">
        <w:rPr>
          <w:rFonts w:ascii="Trebuchet MS" w:hAnsi="Trebuchet MS"/>
          <w:sz w:val="20"/>
          <w:szCs w:val="20"/>
        </w:rPr>
        <w:t xml:space="preserve">(representa </w:t>
      </w:r>
      <w:r w:rsidR="00765CE1" w:rsidRPr="000E7F5F">
        <w:rPr>
          <w:rFonts w:ascii="Trebuchet MS" w:hAnsi="Trebuchet MS"/>
          <w:sz w:val="20"/>
          <w:szCs w:val="20"/>
        </w:rPr>
        <w:t xml:space="preserve">el 17,9% de la población mundial con </w:t>
      </w:r>
      <w:r w:rsidR="00765CE1">
        <w:rPr>
          <w:rFonts w:ascii="Trebuchet MS" w:hAnsi="Trebuchet MS"/>
          <w:sz w:val="20"/>
          <w:szCs w:val="20"/>
        </w:rPr>
        <w:t>1.</w:t>
      </w:r>
      <w:r w:rsidR="00765CE1" w:rsidRPr="000E7F5F">
        <w:rPr>
          <w:rFonts w:ascii="Trebuchet MS" w:hAnsi="Trebuchet MS"/>
          <w:sz w:val="20"/>
          <w:szCs w:val="20"/>
        </w:rPr>
        <w:t>324 de millones de habitantes</w:t>
      </w:r>
      <w:r w:rsidR="00765CE1">
        <w:rPr>
          <w:rFonts w:ascii="Trebuchet MS" w:hAnsi="Trebuchet MS"/>
          <w:sz w:val="20"/>
          <w:szCs w:val="20"/>
        </w:rPr>
        <w:t xml:space="preserve">) </w:t>
      </w:r>
      <w:r>
        <w:rPr>
          <w:rFonts w:ascii="Trebuchet MS" w:hAnsi="Trebuchet MS"/>
          <w:sz w:val="20"/>
          <w:szCs w:val="20"/>
        </w:rPr>
        <w:t>y con enormes desigualdades</w:t>
      </w:r>
      <w:r w:rsidR="00765CE1">
        <w:rPr>
          <w:rFonts w:ascii="Trebuchet MS" w:hAnsi="Trebuchet MS"/>
          <w:sz w:val="20"/>
          <w:szCs w:val="20"/>
        </w:rPr>
        <w:t xml:space="preserve"> (el 78% de la riqueza generada en 2017 fue a parar a manos del 1% de la población más rica del país</w:t>
      </w:r>
      <w:r w:rsidR="00765CE1">
        <w:rPr>
          <w:rStyle w:val="Refdenotaalpie"/>
          <w:rFonts w:ascii="Trebuchet MS" w:hAnsi="Trebuchet MS"/>
          <w:sz w:val="20"/>
          <w:szCs w:val="20"/>
        </w:rPr>
        <w:footnoteReference w:id="2"/>
      </w:r>
      <w:r w:rsidR="00765CE1">
        <w:rPr>
          <w:rFonts w:ascii="Trebuchet MS" w:hAnsi="Trebuchet MS"/>
          <w:sz w:val="20"/>
          <w:szCs w:val="20"/>
        </w:rPr>
        <w:t>)</w:t>
      </w:r>
      <w:r>
        <w:rPr>
          <w:rFonts w:ascii="Trebuchet MS" w:hAnsi="Trebuchet MS"/>
          <w:sz w:val="20"/>
          <w:szCs w:val="20"/>
        </w:rPr>
        <w:t xml:space="preserve">. </w:t>
      </w:r>
    </w:p>
    <w:p w:rsidR="00EC0714" w:rsidRDefault="00EC0714" w:rsidP="00CF7A89">
      <w:pPr>
        <w:shd w:val="clear" w:color="auto" w:fill="FFFFFF" w:themeFill="background1"/>
        <w:spacing w:line="276" w:lineRule="auto"/>
        <w:jc w:val="both"/>
        <w:rPr>
          <w:rFonts w:ascii="Trebuchet MS" w:hAnsi="Trebuchet MS"/>
          <w:sz w:val="20"/>
          <w:szCs w:val="20"/>
        </w:rPr>
      </w:pPr>
    </w:p>
    <w:p w:rsidR="00325A49" w:rsidRDefault="00325A49" w:rsidP="00CF7A89">
      <w:pPr>
        <w:shd w:val="clear" w:color="auto" w:fill="FFFFFF" w:themeFill="background1"/>
        <w:spacing w:line="276" w:lineRule="auto"/>
        <w:jc w:val="both"/>
        <w:rPr>
          <w:rFonts w:ascii="Trebuchet MS" w:hAnsi="Trebuchet MS"/>
          <w:sz w:val="20"/>
          <w:szCs w:val="20"/>
        </w:rPr>
      </w:pPr>
      <w:r>
        <w:rPr>
          <w:rFonts w:ascii="Trebuchet MS" w:hAnsi="Trebuchet MS"/>
          <w:sz w:val="20"/>
          <w:szCs w:val="20"/>
        </w:rPr>
        <w:t xml:space="preserve">Para hacerse una idea, </w:t>
      </w:r>
      <w:r w:rsidR="00765CE1">
        <w:rPr>
          <w:rFonts w:ascii="Trebuchet MS" w:hAnsi="Trebuchet MS"/>
          <w:sz w:val="20"/>
          <w:szCs w:val="20"/>
        </w:rPr>
        <w:t xml:space="preserve">la población total  </w:t>
      </w:r>
      <w:r>
        <w:rPr>
          <w:rFonts w:ascii="Trebuchet MS" w:hAnsi="Trebuchet MS"/>
          <w:sz w:val="20"/>
          <w:szCs w:val="20"/>
        </w:rPr>
        <w:t>de los países propuestos como prioritarios en el Borrador del Plan Director del Gobierno de Navarra</w:t>
      </w:r>
      <w:r w:rsidR="00765CE1">
        <w:rPr>
          <w:rFonts w:ascii="Trebuchet MS" w:hAnsi="Trebuchet MS"/>
          <w:sz w:val="20"/>
          <w:szCs w:val="20"/>
        </w:rPr>
        <w:t>,</w:t>
      </w:r>
      <w:r>
        <w:rPr>
          <w:rFonts w:ascii="Trebuchet MS" w:hAnsi="Trebuchet MS"/>
          <w:sz w:val="20"/>
          <w:szCs w:val="20"/>
        </w:rPr>
        <w:t xml:space="preserve"> es de 193,1 millones de personas</w:t>
      </w:r>
      <w:r w:rsidR="00765CE1">
        <w:rPr>
          <w:rFonts w:ascii="Trebuchet MS" w:hAnsi="Trebuchet MS"/>
          <w:sz w:val="20"/>
          <w:szCs w:val="20"/>
        </w:rPr>
        <w:t xml:space="preserve">, </w:t>
      </w:r>
      <w:r>
        <w:rPr>
          <w:rFonts w:ascii="Trebuchet MS" w:hAnsi="Trebuchet MS"/>
          <w:sz w:val="20"/>
          <w:szCs w:val="20"/>
        </w:rPr>
        <w:t>mientras que sólo la población en situación de pobreza extrema en la India es de 280 millones de personas</w:t>
      </w:r>
      <w:r w:rsidR="00EC0714">
        <w:rPr>
          <w:rStyle w:val="Refdenotaalpie"/>
          <w:rFonts w:ascii="Trebuchet MS" w:hAnsi="Trebuchet MS"/>
          <w:sz w:val="20"/>
          <w:szCs w:val="20"/>
        </w:rPr>
        <w:footnoteReference w:id="3"/>
      </w:r>
      <w:r>
        <w:rPr>
          <w:rFonts w:ascii="Trebuchet MS" w:hAnsi="Trebuchet MS"/>
          <w:sz w:val="20"/>
          <w:szCs w:val="20"/>
        </w:rPr>
        <w:t xml:space="preserve">. Viendo estas cifras absolutas, cabe preguntarse </w:t>
      </w:r>
      <w:r w:rsidRPr="0081722D">
        <w:rPr>
          <w:rFonts w:ascii="Trebuchet MS" w:hAnsi="Trebuchet MS"/>
          <w:sz w:val="20"/>
          <w:szCs w:val="20"/>
        </w:rPr>
        <w:t xml:space="preserve">¿la cooperación debe estar al servicio de los países o de las personas? </w:t>
      </w:r>
    </w:p>
    <w:p w:rsidR="00214FD3" w:rsidRDefault="00214FD3" w:rsidP="00CF7A89">
      <w:pPr>
        <w:shd w:val="clear" w:color="auto" w:fill="FFFFFF" w:themeFill="background1"/>
        <w:spacing w:line="276" w:lineRule="auto"/>
        <w:jc w:val="both"/>
        <w:rPr>
          <w:rFonts w:ascii="Trebuchet MS" w:hAnsi="Trebuchet MS"/>
          <w:sz w:val="20"/>
          <w:szCs w:val="20"/>
        </w:rPr>
      </w:pPr>
    </w:p>
    <w:p w:rsidR="00EC0714" w:rsidRDefault="00EC0714" w:rsidP="00CF7A89">
      <w:pPr>
        <w:shd w:val="clear" w:color="auto" w:fill="FFFFFF" w:themeFill="background1"/>
        <w:spacing w:line="276" w:lineRule="auto"/>
        <w:jc w:val="both"/>
        <w:rPr>
          <w:rFonts w:ascii="Trebuchet MS" w:hAnsi="Trebuchet MS"/>
          <w:sz w:val="20"/>
          <w:szCs w:val="20"/>
        </w:rPr>
      </w:pPr>
      <w:r>
        <w:rPr>
          <w:rFonts w:ascii="Trebuchet MS" w:hAnsi="Trebuchet MS"/>
          <w:sz w:val="20"/>
          <w:szCs w:val="20"/>
        </w:rPr>
        <w:t>Teniendo en cuenta</w:t>
      </w:r>
      <w:r w:rsidRPr="0012734E">
        <w:rPr>
          <w:rFonts w:ascii="Trebuchet MS" w:hAnsi="Trebuchet MS"/>
          <w:sz w:val="20"/>
          <w:szCs w:val="20"/>
        </w:rPr>
        <w:t xml:space="preserve"> las desigualdades existentes </w:t>
      </w:r>
      <w:r>
        <w:rPr>
          <w:rFonts w:ascii="Trebuchet MS" w:hAnsi="Trebuchet MS"/>
          <w:sz w:val="20"/>
          <w:szCs w:val="20"/>
        </w:rPr>
        <w:t>en un país como India</w:t>
      </w:r>
      <w:r w:rsidR="00765CE1">
        <w:rPr>
          <w:rFonts w:ascii="Trebuchet MS" w:hAnsi="Trebuchet MS"/>
          <w:sz w:val="20"/>
          <w:szCs w:val="20"/>
        </w:rPr>
        <w:t xml:space="preserve">, </w:t>
      </w:r>
      <w:r>
        <w:rPr>
          <w:rFonts w:ascii="Trebuchet MS" w:hAnsi="Trebuchet MS"/>
          <w:sz w:val="20"/>
          <w:szCs w:val="20"/>
        </w:rPr>
        <w:t xml:space="preserve">su gran extensión y población, cabe plantearse la posibilidad de que la </w:t>
      </w:r>
      <w:r w:rsidRPr="00325A49">
        <w:rPr>
          <w:rFonts w:ascii="Trebuchet MS" w:hAnsi="Trebuchet MS"/>
          <w:sz w:val="20"/>
          <w:szCs w:val="20"/>
        </w:rPr>
        <w:t>priorización geográfica sea a nivel regional,</w:t>
      </w:r>
      <w:r>
        <w:rPr>
          <w:rFonts w:ascii="Trebuchet MS" w:hAnsi="Trebuchet MS"/>
          <w:sz w:val="20"/>
          <w:szCs w:val="20"/>
        </w:rPr>
        <w:t xml:space="preserve"> donde los indicadores  son más reales y en términos comparativos con otros países son más proporcionados.</w:t>
      </w:r>
    </w:p>
    <w:p w:rsidR="00765CE1" w:rsidRDefault="00765CE1" w:rsidP="00CF7A89">
      <w:pPr>
        <w:shd w:val="clear" w:color="auto" w:fill="FFFFFF" w:themeFill="background1"/>
        <w:spacing w:line="276" w:lineRule="auto"/>
        <w:jc w:val="both"/>
        <w:rPr>
          <w:rFonts w:ascii="Trebuchet MS" w:hAnsi="Trebuchet MS"/>
          <w:sz w:val="20"/>
          <w:szCs w:val="20"/>
        </w:rPr>
      </w:pPr>
    </w:p>
    <w:p w:rsidR="00765CE1" w:rsidRPr="0012734E" w:rsidRDefault="00EC0714" w:rsidP="00CF7A89">
      <w:pPr>
        <w:shd w:val="clear" w:color="auto" w:fill="FFFFFF" w:themeFill="background1"/>
        <w:spacing w:line="276" w:lineRule="auto"/>
        <w:jc w:val="both"/>
        <w:rPr>
          <w:rFonts w:ascii="Trebuchet MS" w:hAnsi="Trebuchet MS"/>
          <w:sz w:val="20"/>
          <w:szCs w:val="20"/>
        </w:rPr>
      </w:pPr>
      <w:r>
        <w:rPr>
          <w:rFonts w:ascii="Trebuchet MS" w:hAnsi="Trebuchet MS"/>
          <w:sz w:val="20"/>
          <w:szCs w:val="20"/>
        </w:rPr>
        <w:t>Los Estado de Andhra Pradesh tiene 49,67 millones de habitantes (sólo 27 países del mundo superan esta cifra) y estaría situado</w:t>
      </w:r>
      <w:r w:rsidRPr="004B19C3">
        <w:rPr>
          <w:rFonts w:ascii="Trebuchet MS" w:hAnsi="Trebuchet MS"/>
          <w:sz w:val="20"/>
          <w:szCs w:val="20"/>
        </w:rPr>
        <w:t xml:space="preserve"> en la franja de Desarrollo Humano bajo, a diferencia</w:t>
      </w:r>
      <w:r w:rsidR="00765CE1">
        <w:rPr>
          <w:rFonts w:ascii="Trebuchet MS" w:hAnsi="Trebuchet MS"/>
          <w:sz w:val="20"/>
          <w:szCs w:val="20"/>
        </w:rPr>
        <w:t xml:space="preserve"> </w:t>
      </w:r>
      <w:r w:rsidR="00765CE1" w:rsidRPr="004B19C3">
        <w:rPr>
          <w:rFonts w:ascii="Trebuchet MS" w:hAnsi="Trebuchet MS"/>
          <w:sz w:val="20"/>
          <w:szCs w:val="20"/>
        </w:rPr>
        <w:t>de India</w:t>
      </w:r>
      <w:r w:rsidR="00765CE1">
        <w:rPr>
          <w:rFonts w:ascii="Trebuchet MS" w:hAnsi="Trebuchet MS"/>
          <w:sz w:val="20"/>
          <w:szCs w:val="20"/>
        </w:rPr>
        <w:t xml:space="preserve"> que está considerada de </w:t>
      </w:r>
      <w:r w:rsidR="00765CE1" w:rsidRPr="004B19C3">
        <w:rPr>
          <w:rFonts w:ascii="Trebuchet MS" w:hAnsi="Trebuchet MS"/>
          <w:sz w:val="20"/>
          <w:szCs w:val="20"/>
        </w:rPr>
        <w:t>Desarrollo humano medio</w:t>
      </w:r>
      <w:r w:rsidR="00765CE1">
        <w:rPr>
          <w:rFonts w:ascii="Trebuchet MS" w:hAnsi="Trebuchet MS"/>
          <w:sz w:val="20"/>
          <w:szCs w:val="20"/>
        </w:rPr>
        <w:t>.</w:t>
      </w:r>
    </w:p>
    <w:p w:rsidR="00075C0E" w:rsidRDefault="00075C0E" w:rsidP="00CF7A89">
      <w:pPr>
        <w:spacing w:line="276" w:lineRule="auto"/>
        <w:jc w:val="both"/>
        <w:rPr>
          <w:rFonts w:ascii="Trebuchet MS" w:hAnsi="Trebuchet MS"/>
          <w:sz w:val="20"/>
          <w:szCs w:val="20"/>
          <w:highlight w:val="yellow"/>
        </w:rPr>
      </w:pPr>
    </w:p>
    <w:p w:rsidR="00075C0E" w:rsidRPr="00D16A6E" w:rsidRDefault="00075C0E" w:rsidP="00CF7A89">
      <w:pPr>
        <w:spacing w:line="276" w:lineRule="auto"/>
        <w:jc w:val="both"/>
        <w:rPr>
          <w:rFonts w:ascii="Trebuchet MS" w:hAnsi="Trebuchet MS"/>
          <w:sz w:val="20"/>
          <w:szCs w:val="20"/>
        </w:rPr>
      </w:pPr>
      <w:r w:rsidRPr="00180541">
        <w:rPr>
          <w:rFonts w:ascii="Trebuchet MS" w:hAnsi="Trebuchet MS"/>
          <w:sz w:val="20"/>
          <w:szCs w:val="20"/>
        </w:rPr>
        <w:t xml:space="preserve">Los indicadores de desarrollo reflejados en el </w:t>
      </w:r>
      <w:r w:rsidR="00C91520">
        <w:rPr>
          <w:rFonts w:ascii="Trebuchet MS" w:hAnsi="Trebuchet MS"/>
          <w:sz w:val="20"/>
          <w:szCs w:val="20"/>
        </w:rPr>
        <w:t xml:space="preserve">IDH </w:t>
      </w:r>
      <w:r w:rsidRPr="00180541">
        <w:rPr>
          <w:rFonts w:ascii="Trebuchet MS" w:hAnsi="Trebuchet MS"/>
          <w:sz w:val="20"/>
          <w:szCs w:val="20"/>
        </w:rPr>
        <w:t>2016 expresan que la India ocupa el puesto 131 de</w:t>
      </w:r>
      <w:r w:rsidR="00180541">
        <w:rPr>
          <w:rFonts w:ascii="Trebuchet MS" w:hAnsi="Trebuchet MS"/>
          <w:sz w:val="20"/>
          <w:szCs w:val="20"/>
        </w:rPr>
        <w:t xml:space="preserve"> 188</w:t>
      </w:r>
      <w:r w:rsidRPr="00180541">
        <w:rPr>
          <w:rFonts w:ascii="Trebuchet MS" w:hAnsi="Trebuchet MS"/>
          <w:sz w:val="20"/>
          <w:szCs w:val="20"/>
        </w:rPr>
        <w:t>, mientras que si se mira el IDH ajustado por la desigualdad (</w:t>
      </w:r>
      <w:r w:rsidR="00AE07A7">
        <w:rPr>
          <w:rFonts w:ascii="Trebuchet MS" w:hAnsi="Trebuchet MS"/>
          <w:sz w:val="20"/>
          <w:szCs w:val="20"/>
        </w:rPr>
        <w:t xml:space="preserve">obteniendo India </w:t>
      </w:r>
      <w:r w:rsidR="00AE07A7" w:rsidRPr="00AE07A7">
        <w:rPr>
          <w:rFonts w:ascii="Trebuchet MS" w:hAnsi="Trebuchet MS"/>
          <w:sz w:val="20"/>
          <w:szCs w:val="20"/>
        </w:rPr>
        <w:t>0,454</w:t>
      </w:r>
      <w:r w:rsidR="00AE07A7">
        <w:rPr>
          <w:rFonts w:ascii="Trebuchet MS" w:hAnsi="Trebuchet MS"/>
          <w:sz w:val="20"/>
          <w:szCs w:val="20"/>
        </w:rPr>
        <w:t xml:space="preserve"> puntos de </w:t>
      </w:r>
      <w:r w:rsidR="00AE07A7" w:rsidRPr="00180541">
        <w:rPr>
          <w:rFonts w:ascii="Trebuchet MS" w:hAnsi="Trebuchet MS"/>
          <w:sz w:val="20"/>
          <w:szCs w:val="20"/>
        </w:rPr>
        <w:t>IDH-D</w:t>
      </w:r>
      <w:r w:rsidR="00AE07A7">
        <w:rPr>
          <w:rFonts w:ascii="Trebuchet MS" w:hAnsi="Trebuchet MS"/>
          <w:sz w:val="20"/>
          <w:szCs w:val="20"/>
        </w:rPr>
        <w:t xml:space="preserve"> sobre 1</w:t>
      </w:r>
      <w:r w:rsidRPr="00180541">
        <w:rPr>
          <w:rFonts w:ascii="Trebuchet MS" w:hAnsi="Trebuchet MS"/>
          <w:sz w:val="20"/>
          <w:szCs w:val="20"/>
        </w:rPr>
        <w:t xml:space="preserve">) el </w:t>
      </w:r>
      <w:r w:rsidR="00AE07A7">
        <w:rPr>
          <w:rFonts w:ascii="Trebuchet MS" w:hAnsi="Trebuchet MS"/>
          <w:sz w:val="20"/>
          <w:szCs w:val="20"/>
        </w:rPr>
        <w:t>IDH pierde el 28,6% de su valor. Esto</w:t>
      </w:r>
      <w:r w:rsidRPr="00180541">
        <w:rPr>
          <w:rFonts w:ascii="Trebuchet MS" w:hAnsi="Trebuchet MS"/>
          <w:sz w:val="20"/>
          <w:szCs w:val="20"/>
        </w:rPr>
        <w:t xml:space="preserve"> refleja la distribución </w:t>
      </w:r>
      <w:r w:rsidR="00754C56">
        <w:rPr>
          <w:rFonts w:ascii="Trebuchet MS" w:hAnsi="Trebuchet MS"/>
          <w:sz w:val="20"/>
          <w:szCs w:val="20"/>
        </w:rPr>
        <w:t xml:space="preserve">real </w:t>
      </w:r>
      <w:r w:rsidRPr="00180541">
        <w:rPr>
          <w:rFonts w:ascii="Trebuchet MS" w:hAnsi="Trebuchet MS"/>
          <w:sz w:val="20"/>
          <w:szCs w:val="20"/>
        </w:rPr>
        <w:t xml:space="preserve">de los logros de un país en salud, educación </w:t>
      </w:r>
      <w:r w:rsidR="00180541" w:rsidRPr="00180541">
        <w:rPr>
          <w:rFonts w:ascii="Trebuchet MS" w:hAnsi="Trebuchet MS"/>
          <w:sz w:val="20"/>
          <w:szCs w:val="20"/>
        </w:rPr>
        <w:t>e ingresos entre sus residentes;</w:t>
      </w:r>
      <w:r w:rsidRPr="00180541">
        <w:rPr>
          <w:rFonts w:ascii="Trebuchet MS" w:hAnsi="Trebuchet MS"/>
          <w:sz w:val="20"/>
          <w:szCs w:val="20"/>
        </w:rPr>
        <w:t xml:space="preserve"> es decir,</w:t>
      </w:r>
      <w:r w:rsidR="00180541" w:rsidRPr="00180541">
        <w:rPr>
          <w:rFonts w:ascii="Trebuchet MS" w:hAnsi="Trebuchet MS"/>
          <w:sz w:val="20"/>
          <w:szCs w:val="20"/>
        </w:rPr>
        <w:t xml:space="preserve"> la manera en la que </w:t>
      </w:r>
      <w:r w:rsidRPr="00180541">
        <w:rPr>
          <w:rFonts w:ascii="Trebuchet MS" w:hAnsi="Trebuchet MS"/>
          <w:sz w:val="20"/>
          <w:szCs w:val="20"/>
        </w:rPr>
        <w:t xml:space="preserve">afecta la desigualdad a la pérdida de calidad de vida individual y desarrollo humano. </w:t>
      </w:r>
      <w:r w:rsidRPr="00AE07A7">
        <w:rPr>
          <w:rFonts w:ascii="Trebuchet MS" w:hAnsi="Trebuchet MS"/>
          <w:sz w:val="20"/>
          <w:szCs w:val="20"/>
        </w:rPr>
        <w:t>Siguiendo en esta línea creemos que es importante dejar constancia que si bien la India tiene un</w:t>
      </w:r>
      <w:r w:rsidR="00AE07A7" w:rsidRPr="00AE07A7">
        <w:rPr>
          <w:rFonts w:ascii="Trebuchet MS" w:hAnsi="Trebuchet MS"/>
          <w:sz w:val="20"/>
          <w:szCs w:val="20"/>
        </w:rPr>
        <w:t>a tasa de crecimiento de su PIB anual (2016) del 7,1%</w:t>
      </w:r>
      <w:r w:rsidRPr="00AE07A7">
        <w:rPr>
          <w:rFonts w:ascii="Trebuchet MS" w:hAnsi="Trebuchet MS"/>
          <w:sz w:val="20"/>
          <w:szCs w:val="20"/>
        </w:rPr>
        <w:t>, su PIB per cápita se encuentra dentro de la media de los países calificados como desarrollo humano medio.</w:t>
      </w:r>
      <w:r w:rsidR="00AE07A7" w:rsidRPr="00AE07A7">
        <w:t xml:space="preserve"> </w:t>
      </w:r>
      <w:r w:rsidR="00AE07A7" w:rsidRPr="00AE07A7">
        <w:rPr>
          <w:rFonts w:ascii="Trebuchet MS" w:hAnsi="Trebuchet MS"/>
          <w:sz w:val="20"/>
          <w:szCs w:val="20"/>
        </w:rPr>
        <w:t xml:space="preserve">El PIB per cápita es un muy buen indicador del nivel de vida y en el caso de India, en 2016, fue de </w:t>
      </w:r>
      <w:r w:rsidR="00B95219" w:rsidRPr="00B95219">
        <w:rPr>
          <w:rFonts w:ascii="Trebuchet MS" w:hAnsi="Trebuchet MS"/>
          <w:sz w:val="20"/>
          <w:szCs w:val="20"/>
        </w:rPr>
        <w:t>1.709,39 USD</w:t>
      </w:r>
      <w:r w:rsidR="00AE07A7" w:rsidRPr="00AE07A7">
        <w:rPr>
          <w:rFonts w:ascii="Trebuchet MS" w:hAnsi="Trebuchet MS"/>
          <w:sz w:val="20"/>
          <w:szCs w:val="20"/>
        </w:rPr>
        <w:t>, por lo que se encuentra con esta cifra está en la parte final de la tabla, en el puesto 146. Sus habitantes tienen un bajísimo nivel de vida en relación a los 195 países del ranking de PIB per cápita.</w:t>
      </w:r>
      <w:r w:rsidR="00E67341">
        <w:rPr>
          <w:rFonts w:ascii="Trebuchet MS" w:hAnsi="Trebuchet MS"/>
          <w:sz w:val="20"/>
          <w:szCs w:val="20"/>
        </w:rPr>
        <w:t xml:space="preserve"> </w:t>
      </w:r>
    </w:p>
    <w:p w:rsidR="00075C0E" w:rsidRPr="00D16A6E" w:rsidRDefault="00075C0E" w:rsidP="00CF7A89">
      <w:pPr>
        <w:spacing w:line="276" w:lineRule="auto"/>
        <w:jc w:val="both"/>
        <w:rPr>
          <w:rFonts w:ascii="Trebuchet MS" w:hAnsi="Trebuchet MS"/>
          <w:sz w:val="20"/>
          <w:szCs w:val="20"/>
        </w:rPr>
      </w:pPr>
    </w:p>
    <w:p w:rsidR="000D2AE3" w:rsidRDefault="00075C0E" w:rsidP="00CF7A89">
      <w:pPr>
        <w:spacing w:line="276" w:lineRule="auto"/>
        <w:jc w:val="both"/>
        <w:rPr>
          <w:rFonts w:ascii="Trebuchet MS" w:hAnsi="Trebuchet MS"/>
          <w:sz w:val="20"/>
          <w:szCs w:val="20"/>
        </w:rPr>
      </w:pPr>
      <w:r w:rsidRPr="00AA49D7">
        <w:rPr>
          <w:rFonts w:ascii="Trebuchet MS" w:hAnsi="Trebuchet MS"/>
          <w:sz w:val="20"/>
          <w:szCs w:val="20"/>
        </w:rPr>
        <w:t>En India el 75% de los hogares rurales tienen un ingreso mensual de menos de 5.000 rupias (69 euros) al mes con una media de 5 miembros por familia</w:t>
      </w:r>
      <w:r w:rsidR="00CC5E3C" w:rsidRPr="005379AE">
        <w:rPr>
          <w:rStyle w:val="Refdenotaalpie"/>
          <w:rFonts w:asciiTheme="minorHAnsi" w:hAnsiTheme="minorHAnsi"/>
          <w:sz w:val="22"/>
          <w:szCs w:val="22"/>
        </w:rPr>
        <w:footnoteReference w:id="4"/>
      </w:r>
      <w:r w:rsidRPr="00AA49D7">
        <w:rPr>
          <w:rFonts w:ascii="Trebuchet MS" w:hAnsi="Trebuchet MS"/>
          <w:sz w:val="20"/>
          <w:szCs w:val="20"/>
        </w:rPr>
        <w:t>.</w:t>
      </w:r>
      <w:r w:rsidRPr="00182E7A">
        <w:rPr>
          <w:rFonts w:ascii="Trebuchet MS" w:hAnsi="Trebuchet MS"/>
          <w:sz w:val="20"/>
          <w:szCs w:val="20"/>
        </w:rPr>
        <w:t xml:space="preserve"> Según el índice de pobreza multidimensional</w:t>
      </w:r>
      <w:r w:rsidR="00182E7A" w:rsidRPr="00182E7A">
        <w:rPr>
          <w:rFonts w:ascii="Trebuchet MS" w:hAnsi="Trebuchet MS"/>
          <w:sz w:val="20"/>
          <w:szCs w:val="20"/>
        </w:rPr>
        <w:t xml:space="preserve"> de 2016</w:t>
      </w:r>
      <w:r w:rsidRPr="00182E7A">
        <w:rPr>
          <w:rFonts w:ascii="Trebuchet MS" w:hAnsi="Trebuchet MS"/>
          <w:sz w:val="20"/>
          <w:szCs w:val="20"/>
        </w:rPr>
        <w:t xml:space="preserve">, </w:t>
      </w:r>
      <w:r w:rsidR="00182E7A" w:rsidRPr="00182E7A">
        <w:rPr>
          <w:rFonts w:ascii="Trebuchet MS" w:hAnsi="Trebuchet MS"/>
          <w:sz w:val="20"/>
          <w:szCs w:val="20"/>
        </w:rPr>
        <w:t>en el sur de Asia</w:t>
      </w:r>
      <w:r w:rsidR="00C91520">
        <w:rPr>
          <w:rFonts w:ascii="Trebuchet MS" w:hAnsi="Trebuchet MS"/>
          <w:sz w:val="20"/>
          <w:szCs w:val="20"/>
        </w:rPr>
        <w:t>,</w:t>
      </w:r>
      <w:r w:rsidR="00182E7A" w:rsidRPr="00182E7A">
        <w:rPr>
          <w:rFonts w:ascii="Trebuchet MS" w:hAnsi="Trebuchet MS"/>
          <w:sz w:val="20"/>
          <w:szCs w:val="20"/>
        </w:rPr>
        <w:t xml:space="preserve"> India es el país que mayor pobreza multidimensional sufre (por detrás de Afganistán), con un 54%. De hecho hay más pobreza </w:t>
      </w:r>
      <w:r w:rsidR="00182E7A" w:rsidRPr="00182E7A">
        <w:rPr>
          <w:rFonts w:ascii="Trebuchet MS" w:hAnsi="Trebuchet MS"/>
          <w:sz w:val="20"/>
          <w:szCs w:val="20"/>
        </w:rPr>
        <w:lastRenderedPageBreak/>
        <w:t>multidimensional</w:t>
      </w:r>
      <w:r w:rsidR="00182E7A">
        <w:rPr>
          <w:rFonts w:ascii="Trebuchet MS" w:hAnsi="Trebuchet MS"/>
          <w:sz w:val="20"/>
          <w:szCs w:val="20"/>
        </w:rPr>
        <w:t xml:space="preserve"> a nivel personal en los 8 estados más pobres de India que en los 26 países más pobres de África juntos</w:t>
      </w:r>
      <w:r w:rsidR="00C26460" w:rsidRPr="005379AE">
        <w:rPr>
          <w:rStyle w:val="Refdenotaalpie"/>
          <w:rFonts w:ascii="Trebuchet MS" w:hAnsi="Trebuchet MS"/>
          <w:sz w:val="20"/>
          <w:szCs w:val="20"/>
        </w:rPr>
        <w:footnoteReference w:id="5"/>
      </w:r>
      <w:r w:rsidR="00182E7A" w:rsidRPr="005379AE">
        <w:rPr>
          <w:rStyle w:val="Refdenotaalpie"/>
          <w:rFonts w:ascii="Trebuchet MS" w:hAnsi="Trebuchet MS"/>
          <w:sz w:val="20"/>
          <w:szCs w:val="20"/>
        </w:rPr>
        <w:footnoteReference w:id="6"/>
      </w:r>
      <w:r w:rsidR="00182E7A" w:rsidRPr="005379AE">
        <w:rPr>
          <w:rFonts w:ascii="Trebuchet MS" w:hAnsi="Trebuchet MS"/>
          <w:sz w:val="20"/>
          <w:szCs w:val="20"/>
        </w:rPr>
        <w:t>.</w:t>
      </w:r>
      <w:r w:rsidR="00E67341" w:rsidRPr="00AA49D7">
        <w:rPr>
          <w:rFonts w:ascii="Trebuchet MS" w:hAnsi="Trebuchet MS"/>
          <w:sz w:val="20"/>
          <w:szCs w:val="20"/>
        </w:rPr>
        <w:t xml:space="preserve"> E</w:t>
      </w:r>
      <w:r w:rsidRPr="00AA49D7">
        <w:rPr>
          <w:rFonts w:ascii="Trebuchet MS" w:hAnsi="Trebuchet MS"/>
          <w:sz w:val="20"/>
          <w:szCs w:val="20"/>
        </w:rPr>
        <w:t>l 27,8% de la población se encuentra en situación de pobreza multidimensional extrema</w:t>
      </w:r>
      <w:r w:rsidR="00E67341" w:rsidRPr="00AA49D7">
        <w:rPr>
          <w:rFonts w:ascii="Trebuchet MS" w:hAnsi="Trebuchet MS"/>
          <w:sz w:val="20"/>
          <w:szCs w:val="20"/>
        </w:rPr>
        <w:t>,</w:t>
      </w:r>
      <w:r w:rsidRPr="00AA49D7">
        <w:rPr>
          <w:rFonts w:ascii="Trebuchet MS" w:hAnsi="Trebuchet MS"/>
          <w:sz w:val="20"/>
          <w:szCs w:val="20"/>
        </w:rPr>
        <w:t xml:space="preserve"> es decir, con privaciones del más del 50% en educación, salud y niveles de vida, que en términos absolutos representa 348 millones de personas, comparativamente </w:t>
      </w:r>
      <w:r w:rsidR="00960CA4">
        <w:rPr>
          <w:rFonts w:ascii="Trebuchet MS" w:hAnsi="Trebuchet MS"/>
          <w:sz w:val="20"/>
          <w:szCs w:val="20"/>
        </w:rPr>
        <w:t xml:space="preserve">es </w:t>
      </w:r>
      <w:r w:rsidRPr="00AA49D7">
        <w:rPr>
          <w:rFonts w:ascii="Trebuchet MS" w:hAnsi="Trebuchet MS"/>
          <w:sz w:val="20"/>
          <w:szCs w:val="20"/>
        </w:rPr>
        <w:t>el 68,65% de la población de la Unión Europea de los 28</w:t>
      </w:r>
      <w:r w:rsidR="005379AE" w:rsidRPr="00AA49D7">
        <w:rPr>
          <w:rStyle w:val="Refdenotaalpie"/>
          <w:rFonts w:ascii="Trebuchet MS" w:hAnsi="Trebuchet MS"/>
          <w:sz w:val="20"/>
          <w:szCs w:val="20"/>
        </w:rPr>
        <w:footnoteReference w:id="7"/>
      </w:r>
      <w:r w:rsidRPr="00AA49D7">
        <w:rPr>
          <w:rFonts w:ascii="Trebuchet MS" w:hAnsi="Trebuchet MS"/>
          <w:sz w:val="20"/>
          <w:szCs w:val="20"/>
        </w:rPr>
        <w:t>.</w:t>
      </w:r>
      <w:r w:rsidRPr="00D16A6E">
        <w:rPr>
          <w:rFonts w:ascii="Trebuchet MS" w:hAnsi="Trebuchet MS"/>
          <w:sz w:val="20"/>
          <w:szCs w:val="20"/>
        </w:rPr>
        <w:t xml:space="preserve"> </w:t>
      </w:r>
    </w:p>
    <w:p w:rsidR="000D2AE3" w:rsidRDefault="000D2AE3" w:rsidP="00CF7A89">
      <w:pPr>
        <w:spacing w:line="276" w:lineRule="auto"/>
        <w:jc w:val="both"/>
        <w:rPr>
          <w:rFonts w:ascii="Trebuchet MS" w:hAnsi="Trebuchet MS"/>
          <w:sz w:val="20"/>
          <w:szCs w:val="20"/>
        </w:rPr>
      </w:pPr>
    </w:p>
    <w:p w:rsidR="006C026D" w:rsidRDefault="006C026D" w:rsidP="00CF7A89">
      <w:pPr>
        <w:spacing w:line="276" w:lineRule="auto"/>
        <w:jc w:val="both"/>
        <w:rPr>
          <w:rFonts w:ascii="Trebuchet MS" w:hAnsi="Trebuchet MS"/>
          <w:b/>
          <w:sz w:val="20"/>
          <w:szCs w:val="20"/>
          <w:u w:val="single"/>
        </w:rPr>
      </w:pPr>
    </w:p>
    <w:p w:rsidR="005379AE" w:rsidRPr="00CF7A89" w:rsidRDefault="00765CE1" w:rsidP="00CF7A89">
      <w:pPr>
        <w:pStyle w:val="Prrafodelista"/>
        <w:numPr>
          <w:ilvl w:val="0"/>
          <w:numId w:val="5"/>
        </w:numPr>
        <w:spacing w:line="276" w:lineRule="auto"/>
        <w:jc w:val="both"/>
        <w:rPr>
          <w:rFonts w:ascii="Trebuchet MS" w:hAnsi="Trebuchet MS"/>
          <w:b/>
          <w:sz w:val="20"/>
          <w:szCs w:val="20"/>
          <w:u w:val="single"/>
        </w:rPr>
      </w:pPr>
      <w:r w:rsidRPr="00CF7A89">
        <w:rPr>
          <w:rFonts w:ascii="Trebuchet MS" w:hAnsi="Trebuchet MS"/>
          <w:b/>
          <w:sz w:val="20"/>
          <w:szCs w:val="20"/>
          <w:u w:val="single"/>
        </w:rPr>
        <w:t xml:space="preserve">Fundamentación en base </w:t>
      </w:r>
      <w:r w:rsidR="006C026D" w:rsidRPr="00CF7A89">
        <w:rPr>
          <w:rFonts w:ascii="Trebuchet MS" w:hAnsi="Trebuchet MS"/>
          <w:b/>
          <w:sz w:val="20"/>
          <w:szCs w:val="20"/>
          <w:u w:val="single"/>
        </w:rPr>
        <w:t xml:space="preserve">a las metas de los </w:t>
      </w:r>
      <w:r w:rsidR="005379AE" w:rsidRPr="00CF7A89">
        <w:rPr>
          <w:rFonts w:ascii="Trebuchet MS" w:hAnsi="Trebuchet MS"/>
          <w:b/>
          <w:sz w:val="20"/>
          <w:szCs w:val="20"/>
          <w:u w:val="single"/>
        </w:rPr>
        <w:t xml:space="preserve">Objetivos de Desarrollo Sostenible: </w:t>
      </w:r>
    </w:p>
    <w:p w:rsidR="00765CE1" w:rsidRDefault="00765CE1" w:rsidP="00CF7A89">
      <w:pPr>
        <w:spacing w:line="276" w:lineRule="auto"/>
        <w:jc w:val="both"/>
        <w:rPr>
          <w:rFonts w:ascii="Trebuchet MS" w:hAnsi="Trebuchet MS"/>
          <w:sz w:val="20"/>
          <w:szCs w:val="20"/>
        </w:rPr>
      </w:pPr>
    </w:p>
    <w:p w:rsidR="00075C0E" w:rsidRPr="00D16A6E" w:rsidRDefault="00075C0E" w:rsidP="00CF7A89">
      <w:pPr>
        <w:spacing w:line="276" w:lineRule="auto"/>
        <w:jc w:val="both"/>
        <w:rPr>
          <w:rFonts w:ascii="Trebuchet MS" w:hAnsi="Trebuchet MS"/>
          <w:sz w:val="20"/>
          <w:szCs w:val="20"/>
        </w:rPr>
      </w:pPr>
      <w:r w:rsidRPr="00182E7A">
        <w:rPr>
          <w:rFonts w:ascii="Trebuchet MS" w:hAnsi="Trebuchet MS"/>
          <w:sz w:val="20"/>
          <w:szCs w:val="20"/>
        </w:rPr>
        <w:t xml:space="preserve">El reto para alcanzar las metas del </w:t>
      </w:r>
      <w:r w:rsidRPr="00AA49D7">
        <w:rPr>
          <w:rFonts w:ascii="Trebuchet MS" w:hAnsi="Trebuchet MS"/>
          <w:b/>
          <w:sz w:val="20"/>
          <w:szCs w:val="20"/>
        </w:rPr>
        <w:t>Objetivo 1</w:t>
      </w:r>
      <w:r w:rsidR="00E67341" w:rsidRPr="00AA49D7">
        <w:rPr>
          <w:rFonts w:ascii="Trebuchet MS" w:hAnsi="Trebuchet MS"/>
          <w:b/>
          <w:sz w:val="20"/>
          <w:szCs w:val="20"/>
        </w:rPr>
        <w:t>, poner fin a la pobreza en todas sus formas en todo el mundo</w:t>
      </w:r>
      <w:r w:rsidR="00E67341">
        <w:rPr>
          <w:rFonts w:ascii="Trebuchet MS" w:hAnsi="Trebuchet MS"/>
          <w:sz w:val="20"/>
          <w:szCs w:val="20"/>
        </w:rPr>
        <w:t>,</w:t>
      </w:r>
      <w:r w:rsidRPr="00182E7A">
        <w:rPr>
          <w:rFonts w:ascii="Trebuchet MS" w:hAnsi="Trebuchet MS"/>
          <w:sz w:val="20"/>
          <w:szCs w:val="20"/>
        </w:rPr>
        <w:t xml:space="preserve"> de los </w:t>
      </w:r>
      <w:r w:rsidR="00C91520">
        <w:rPr>
          <w:rFonts w:ascii="Trebuchet MS" w:hAnsi="Trebuchet MS"/>
          <w:sz w:val="20"/>
          <w:szCs w:val="20"/>
        </w:rPr>
        <w:t>Objetivos de Desarrollo Sostenible (</w:t>
      </w:r>
      <w:r w:rsidRPr="00182E7A">
        <w:rPr>
          <w:rFonts w:ascii="Trebuchet MS" w:hAnsi="Trebuchet MS"/>
          <w:sz w:val="20"/>
          <w:szCs w:val="20"/>
        </w:rPr>
        <w:t>ODS</w:t>
      </w:r>
      <w:r w:rsidR="00C91520">
        <w:rPr>
          <w:rFonts w:ascii="Trebuchet MS" w:hAnsi="Trebuchet MS"/>
          <w:sz w:val="20"/>
          <w:szCs w:val="20"/>
        </w:rPr>
        <w:t>)</w:t>
      </w:r>
      <w:r w:rsidRPr="00182E7A">
        <w:rPr>
          <w:rFonts w:ascii="Trebuchet MS" w:hAnsi="Trebuchet MS"/>
          <w:sz w:val="20"/>
          <w:szCs w:val="20"/>
        </w:rPr>
        <w:t xml:space="preserve"> en la India para 2030 es mayúsculo. Según fuentes como el Banco Mundial o la Agencia de Cooperación Británica apuntan que si cada uno de los 29 estados que conforman la India fuera un estado independiente, 11 de ellos se situarían entre los  20 países con mayor número de personas pobres</w:t>
      </w:r>
      <w:r w:rsidR="00960CA4">
        <w:rPr>
          <w:rFonts w:ascii="Trebuchet MS" w:hAnsi="Trebuchet MS"/>
          <w:sz w:val="20"/>
          <w:szCs w:val="20"/>
        </w:rPr>
        <w:t xml:space="preserve"> del mundo</w:t>
      </w:r>
      <w:r w:rsidRPr="00182E7A">
        <w:rPr>
          <w:rFonts w:ascii="Trebuchet MS" w:hAnsi="Trebuchet MS"/>
          <w:sz w:val="20"/>
          <w:szCs w:val="20"/>
        </w:rPr>
        <w:t>.</w:t>
      </w:r>
    </w:p>
    <w:p w:rsidR="00075C0E" w:rsidRDefault="00075C0E" w:rsidP="00CF7A89">
      <w:pPr>
        <w:spacing w:line="276" w:lineRule="auto"/>
        <w:jc w:val="both"/>
        <w:rPr>
          <w:rFonts w:ascii="Trebuchet MS" w:hAnsi="Trebuchet MS"/>
          <w:sz w:val="20"/>
          <w:szCs w:val="20"/>
        </w:rPr>
      </w:pPr>
    </w:p>
    <w:p w:rsidR="006C026D" w:rsidRDefault="006C026D" w:rsidP="00CF7A89">
      <w:pPr>
        <w:spacing w:line="276" w:lineRule="auto"/>
        <w:jc w:val="both"/>
        <w:rPr>
          <w:rFonts w:ascii="Trebuchet MS" w:hAnsi="Trebuchet MS"/>
          <w:sz w:val="20"/>
          <w:szCs w:val="20"/>
        </w:rPr>
      </w:pPr>
      <w:r w:rsidRPr="00246D9A">
        <w:rPr>
          <w:rFonts w:ascii="Trebuchet MS" w:hAnsi="Trebuchet MS"/>
          <w:sz w:val="20"/>
          <w:szCs w:val="20"/>
        </w:rPr>
        <w:t xml:space="preserve">Es muy importante señalar que la India está considerada como el epicentro de la desnutrición infantil en el mundo (relacionado con las dos primeras metas del </w:t>
      </w:r>
      <w:r w:rsidRPr="00AA49D7">
        <w:rPr>
          <w:rFonts w:ascii="Trebuchet MS" w:hAnsi="Trebuchet MS"/>
          <w:b/>
          <w:sz w:val="20"/>
          <w:szCs w:val="20"/>
        </w:rPr>
        <w:t>Objetivo 2</w:t>
      </w:r>
      <w:r>
        <w:rPr>
          <w:rFonts w:ascii="Trebuchet MS" w:hAnsi="Trebuchet MS"/>
          <w:sz w:val="20"/>
          <w:szCs w:val="20"/>
        </w:rPr>
        <w:t xml:space="preserve">, </w:t>
      </w:r>
      <w:r w:rsidRPr="00AA49D7">
        <w:rPr>
          <w:rFonts w:ascii="Trebuchet MS" w:hAnsi="Trebuchet MS"/>
          <w:b/>
          <w:sz w:val="20"/>
          <w:szCs w:val="20"/>
        </w:rPr>
        <w:t>poner fin al hambre, lograr la seguridad alimentaria y la mejora de la nutrición y promover la agricultura sostenible</w:t>
      </w:r>
      <w:r w:rsidRPr="005379AE">
        <w:rPr>
          <w:rFonts w:ascii="Trebuchet MS" w:hAnsi="Trebuchet MS"/>
          <w:sz w:val="20"/>
          <w:szCs w:val="20"/>
        </w:rPr>
        <w:t xml:space="preserve">), ya que </w:t>
      </w:r>
      <w:r w:rsidRPr="008D16CA">
        <w:rPr>
          <w:rFonts w:ascii="Trebuchet MS" w:hAnsi="Trebuchet MS"/>
          <w:sz w:val="20"/>
          <w:szCs w:val="20"/>
        </w:rPr>
        <w:t>el</w:t>
      </w:r>
      <w:r>
        <w:rPr>
          <w:rFonts w:ascii="Trebuchet MS" w:hAnsi="Trebuchet MS"/>
          <w:sz w:val="20"/>
          <w:szCs w:val="20"/>
        </w:rPr>
        <w:t xml:space="preserve"> </w:t>
      </w:r>
      <w:r w:rsidRPr="008D16CA">
        <w:rPr>
          <w:rFonts w:ascii="Trebuchet MS" w:hAnsi="Trebuchet MS"/>
          <w:sz w:val="20"/>
          <w:szCs w:val="20"/>
        </w:rPr>
        <w:t>38,5%  de los niños y niñas indios</w:t>
      </w:r>
      <w:r w:rsidRPr="005379AE">
        <w:rPr>
          <w:rFonts w:ascii="Trebuchet MS" w:hAnsi="Trebuchet MS"/>
          <w:sz w:val="20"/>
          <w:szCs w:val="20"/>
        </w:rPr>
        <w:t xml:space="preserve"> menores de 5 años sufren desnutrición</w:t>
      </w:r>
      <w:r>
        <w:rPr>
          <w:rStyle w:val="Refdenotaalpie"/>
          <w:rFonts w:ascii="Trebuchet MS" w:hAnsi="Trebuchet MS"/>
          <w:sz w:val="20"/>
          <w:szCs w:val="20"/>
        </w:rPr>
        <w:footnoteReference w:id="8"/>
      </w:r>
      <w:r w:rsidRPr="005379AE">
        <w:rPr>
          <w:rFonts w:ascii="Trebuchet MS" w:hAnsi="Trebuchet MS"/>
          <w:sz w:val="20"/>
          <w:szCs w:val="20"/>
        </w:rPr>
        <w:t>.</w:t>
      </w:r>
      <w:r w:rsidRPr="00AA49D7">
        <w:rPr>
          <w:rFonts w:ascii="Trebuchet MS" w:hAnsi="Trebuchet MS"/>
          <w:sz w:val="20"/>
          <w:szCs w:val="20"/>
        </w:rPr>
        <w:t xml:space="preserve"> Más de un tercio de los 150 millones de niños y niñas menores de cinco años que sufren desnutrición en el mundo se concentran en este país</w:t>
      </w:r>
      <w:r w:rsidRPr="005379AE">
        <w:rPr>
          <w:rStyle w:val="Refdenotaalpie"/>
          <w:rFonts w:asciiTheme="minorHAnsi" w:hAnsiTheme="minorHAnsi" w:cs="Trebuchet MS"/>
          <w:sz w:val="22"/>
          <w:szCs w:val="22"/>
        </w:rPr>
        <w:footnoteReference w:id="9"/>
      </w:r>
      <w:r w:rsidRPr="00AA49D7">
        <w:rPr>
          <w:rFonts w:ascii="Trebuchet MS" w:hAnsi="Trebuchet MS"/>
          <w:sz w:val="20"/>
          <w:szCs w:val="20"/>
        </w:rPr>
        <w:t>. “Las tasas de malnutrición infantil en India son casi cinco veces más altas que en China, y el doble que en África al sur del Sahara. Casi la mitad de todos los niños -aproximadamente 60 millones- tiene un peso inferior al normal, 45% registra un retraso del crecimiento (son demasiado bajos para su edad), 20% tiene emaciación (demasiado delgados para su altura, lo que indica malnutrición aguda), 75% sufre anemia, y 57 % carece de suficiente vitamina A</w:t>
      </w:r>
      <w:proofErr w:type="gramStart"/>
      <w:r w:rsidRPr="005379AE">
        <w:rPr>
          <w:rFonts w:ascii="Trebuchet MS" w:hAnsi="Trebuchet MS"/>
          <w:sz w:val="20"/>
          <w:szCs w:val="20"/>
        </w:rPr>
        <w:t>”</w:t>
      </w:r>
      <w:r w:rsidRPr="005379AE">
        <w:rPr>
          <w:rFonts w:asciiTheme="minorHAnsi" w:hAnsiTheme="minorHAnsi" w:cs="Trebuchet MS"/>
          <w:sz w:val="22"/>
          <w:szCs w:val="22"/>
        </w:rPr>
        <w:t xml:space="preserve"> </w:t>
      </w:r>
      <w:proofErr w:type="gramEnd"/>
      <w:r w:rsidRPr="004538E5">
        <w:rPr>
          <w:rStyle w:val="Refdenotaalpie"/>
          <w:rFonts w:asciiTheme="minorHAnsi" w:hAnsiTheme="minorHAnsi" w:cs="Trebuchet MS"/>
          <w:sz w:val="22"/>
          <w:szCs w:val="22"/>
        </w:rPr>
        <w:footnoteReference w:id="10"/>
      </w:r>
      <w:r w:rsidRPr="00BF7C9A">
        <w:rPr>
          <w:rFonts w:ascii="Trebuchet MS" w:hAnsi="Trebuchet MS"/>
          <w:sz w:val="20"/>
          <w:szCs w:val="20"/>
        </w:rPr>
        <w:t>. Pero la subalimentación está extendida a toda la población, afectando al 14,5% de la población total de India</w:t>
      </w:r>
      <w:r>
        <w:rPr>
          <w:rStyle w:val="Refdenotaalpie"/>
          <w:rFonts w:ascii="Trebuchet MS" w:hAnsi="Trebuchet MS"/>
          <w:sz w:val="20"/>
          <w:szCs w:val="20"/>
        </w:rPr>
        <w:footnoteReference w:id="11"/>
      </w:r>
      <w:r w:rsidRPr="00BF7C9A">
        <w:rPr>
          <w:rFonts w:ascii="Trebuchet MS" w:hAnsi="Trebuchet MS"/>
          <w:sz w:val="20"/>
          <w:szCs w:val="20"/>
        </w:rPr>
        <w:t xml:space="preserve"> (192 millones de personas frente a los </w:t>
      </w:r>
      <w:r>
        <w:rPr>
          <w:rFonts w:ascii="Trebuchet MS" w:hAnsi="Trebuchet MS"/>
          <w:sz w:val="20"/>
          <w:szCs w:val="20"/>
        </w:rPr>
        <w:t>815</w:t>
      </w:r>
      <w:r w:rsidRPr="00BF7C9A">
        <w:rPr>
          <w:rFonts w:ascii="Trebuchet MS" w:hAnsi="Trebuchet MS"/>
          <w:sz w:val="20"/>
          <w:szCs w:val="20"/>
        </w:rPr>
        <w:t xml:space="preserve"> millones de personas subalimentadas en el mundo</w:t>
      </w:r>
      <w:r w:rsidRPr="00560991">
        <w:rPr>
          <w:rFonts w:ascii="Trebuchet MS" w:hAnsi="Trebuchet MS"/>
          <w:sz w:val="20"/>
          <w:szCs w:val="20"/>
        </w:rPr>
        <w:t xml:space="preserve">), a pesar de los esfuerzos </w:t>
      </w:r>
      <w:r w:rsidRPr="00AA49D7">
        <w:rPr>
          <w:rFonts w:ascii="Trebuchet MS" w:hAnsi="Trebuchet MS"/>
          <w:sz w:val="20"/>
          <w:szCs w:val="20"/>
        </w:rPr>
        <w:t>gubernamentales por cubrir las necesidades básicas de dos tercios de la población (</w:t>
      </w:r>
      <w:proofErr w:type="spellStart"/>
      <w:r w:rsidRPr="00AA49D7">
        <w:rPr>
          <w:rFonts w:ascii="Trebuchet MS" w:hAnsi="Trebuchet MS"/>
          <w:sz w:val="20"/>
          <w:szCs w:val="20"/>
        </w:rPr>
        <w:t>National</w:t>
      </w:r>
      <w:proofErr w:type="spellEnd"/>
      <w:r w:rsidRPr="00AA49D7">
        <w:rPr>
          <w:rFonts w:ascii="Trebuchet MS" w:hAnsi="Trebuchet MS"/>
          <w:sz w:val="20"/>
          <w:szCs w:val="20"/>
        </w:rPr>
        <w:t xml:space="preserve"> </w:t>
      </w:r>
      <w:proofErr w:type="spellStart"/>
      <w:r w:rsidRPr="00AA49D7">
        <w:rPr>
          <w:rFonts w:ascii="Trebuchet MS" w:hAnsi="Trebuchet MS"/>
          <w:sz w:val="20"/>
          <w:szCs w:val="20"/>
        </w:rPr>
        <w:t>Food</w:t>
      </w:r>
      <w:proofErr w:type="spellEnd"/>
      <w:r w:rsidRPr="00AA49D7">
        <w:rPr>
          <w:rFonts w:ascii="Trebuchet MS" w:hAnsi="Trebuchet MS"/>
          <w:sz w:val="20"/>
          <w:szCs w:val="20"/>
        </w:rPr>
        <w:t xml:space="preserve"> Security </w:t>
      </w:r>
      <w:proofErr w:type="spellStart"/>
      <w:r w:rsidRPr="00AA49D7">
        <w:rPr>
          <w:rFonts w:ascii="Trebuchet MS" w:hAnsi="Trebuchet MS"/>
          <w:sz w:val="20"/>
          <w:szCs w:val="20"/>
        </w:rPr>
        <w:t>Act</w:t>
      </w:r>
      <w:proofErr w:type="spellEnd"/>
      <w:r w:rsidRPr="00AA49D7">
        <w:rPr>
          <w:rFonts w:ascii="Trebuchet MS" w:hAnsi="Trebuchet MS"/>
          <w:sz w:val="20"/>
          <w:szCs w:val="20"/>
        </w:rPr>
        <w:t>, 2013). Todo ello con importantes desigualdades si se es mujer y/o niña de zona rural, enfrentándose a una doble discriminación cuando además de mujer se es pobre y se pertenece a un colectivo marginado, como es el caso de tribus y castas marginadas en India.</w:t>
      </w:r>
    </w:p>
    <w:p w:rsidR="006C026D" w:rsidRDefault="006C026D" w:rsidP="00CF7A89">
      <w:pPr>
        <w:spacing w:line="276" w:lineRule="auto"/>
        <w:jc w:val="both"/>
        <w:rPr>
          <w:rFonts w:ascii="Trebuchet MS" w:hAnsi="Trebuchet MS"/>
          <w:sz w:val="20"/>
          <w:szCs w:val="20"/>
        </w:rPr>
      </w:pPr>
      <w:r>
        <w:rPr>
          <w:rFonts w:ascii="Trebuchet MS" w:hAnsi="Trebuchet MS"/>
          <w:sz w:val="20"/>
          <w:szCs w:val="20"/>
        </w:rPr>
        <w:t xml:space="preserve">Tal y como señala el Informe Sobre el Estado de la Seguridad Alimentaria y Nutrición de 2017 de la OMS/FAO/UNICEF, la prevalencia de la subalimentación es mayor en África pero el número absoluto de personas subalimentadas es mayor en </w:t>
      </w:r>
      <w:proofErr w:type="spellStart"/>
      <w:r>
        <w:rPr>
          <w:rFonts w:ascii="Trebuchet MS" w:hAnsi="Trebuchet MS"/>
          <w:sz w:val="20"/>
          <w:szCs w:val="20"/>
        </w:rPr>
        <w:t>Ásia</w:t>
      </w:r>
      <w:proofErr w:type="spellEnd"/>
      <w:r>
        <w:rPr>
          <w:rFonts w:ascii="Trebuchet MS" w:hAnsi="Trebuchet MS"/>
          <w:sz w:val="20"/>
          <w:szCs w:val="20"/>
        </w:rPr>
        <w:t xml:space="preserve"> (508 </w:t>
      </w:r>
      <w:proofErr w:type="spellStart"/>
      <w:r>
        <w:rPr>
          <w:rFonts w:ascii="Trebuchet MS" w:hAnsi="Trebuchet MS"/>
          <w:sz w:val="20"/>
          <w:szCs w:val="20"/>
        </w:rPr>
        <w:t>milllones</w:t>
      </w:r>
      <w:proofErr w:type="spellEnd"/>
      <w:r>
        <w:rPr>
          <w:rFonts w:ascii="Trebuchet MS" w:hAnsi="Trebuchet MS"/>
          <w:sz w:val="20"/>
          <w:szCs w:val="20"/>
        </w:rPr>
        <w:t xml:space="preserve"> frente a los 243 de África). </w:t>
      </w:r>
    </w:p>
    <w:p w:rsidR="006C026D" w:rsidRPr="00D16A6E" w:rsidRDefault="006C026D" w:rsidP="00CF7A89">
      <w:pPr>
        <w:spacing w:line="276" w:lineRule="auto"/>
        <w:jc w:val="both"/>
        <w:rPr>
          <w:rFonts w:ascii="Trebuchet MS" w:hAnsi="Trebuchet MS"/>
          <w:sz w:val="20"/>
          <w:szCs w:val="20"/>
        </w:rPr>
      </w:pPr>
    </w:p>
    <w:p w:rsidR="00075C0E" w:rsidRPr="00D16A6E" w:rsidRDefault="00182E7A" w:rsidP="00CF7A89">
      <w:pPr>
        <w:spacing w:line="276" w:lineRule="auto"/>
        <w:jc w:val="both"/>
        <w:rPr>
          <w:rFonts w:ascii="Trebuchet MS" w:hAnsi="Trebuchet MS"/>
          <w:sz w:val="20"/>
          <w:szCs w:val="20"/>
        </w:rPr>
      </w:pPr>
      <w:r w:rsidRPr="00182E7A">
        <w:rPr>
          <w:rFonts w:ascii="Trebuchet MS" w:hAnsi="Trebuchet MS"/>
          <w:sz w:val="20"/>
          <w:szCs w:val="20"/>
        </w:rPr>
        <w:t xml:space="preserve">Según los últimos </w:t>
      </w:r>
      <w:r w:rsidR="00FD5F2B">
        <w:rPr>
          <w:rFonts w:ascii="Trebuchet MS" w:hAnsi="Trebuchet MS"/>
          <w:sz w:val="20"/>
          <w:szCs w:val="20"/>
        </w:rPr>
        <w:t>datos publicados</w:t>
      </w:r>
      <w:r w:rsidR="00F7627B">
        <w:rPr>
          <w:rFonts w:ascii="Trebuchet MS" w:hAnsi="Trebuchet MS"/>
          <w:sz w:val="20"/>
          <w:szCs w:val="20"/>
        </w:rPr>
        <w:t xml:space="preserve"> referente al </w:t>
      </w:r>
      <w:r w:rsidR="00F7627B" w:rsidRPr="00AA49D7">
        <w:rPr>
          <w:rFonts w:ascii="Trebuchet MS" w:hAnsi="Trebuchet MS"/>
          <w:b/>
          <w:sz w:val="20"/>
          <w:szCs w:val="20"/>
        </w:rPr>
        <w:t>Objetivo 3, garantizar una vida sana y promover el bienestar para todos en todas las edades</w:t>
      </w:r>
      <w:r w:rsidR="00075C0E" w:rsidRPr="00AA49D7">
        <w:rPr>
          <w:rFonts w:ascii="Trebuchet MS" w:hAnsi="Trebuchet MS"/>
          <w:b/>
          <w:sz w:val="20"/>
          <w:szCs w:val="20"/>
        </w:rPr>
        <w:t>,</w:t>
      </w:r>
      <w:r w:rsidR="00075C0E" w:rsidRPr="00182E7A">
        <w:rPr>
          <w:rFonts w:ascii="Trebuchet MS" w:hAnsi="Trebuchet MS"/>
          <w:sz w:val="20"/>
          <w:szCs w:val="20"/>
        </w:rPr>
        <w:t xml:space="preserve"> la India tiene uno de los gastos sanitarios públicos más bajos d</w:t>
      </w:r>
      <w:r w:rsidR="00FD5F2B">
        <w:rPr>
          <w:rFonts w:ascii="Trebuchet MS" w:hAnsi="Trebuchet MS"/>
          <w:sz w:val="20"/>
          <w:szCs w:val="20"/>
        </w:rPr>
        <w:t>el mundo</w:t>
      </w:r>
      <w:r w:rsidR="00FD5F2B" w:rsidRPr="00A64684">
        <w:rPr>
          <w:rFonts w:ascii="Trebuchet MS" w:hAnsi="Trebuchet MS"/>
          <w:sz w:val="20"/>
          <w:szCs w:val="20"/>
        </w:rPr>
        <w:t>, aproximadamente el 4,68</w:t>
      </w:r>
      <w:r w:rsidR="00075C0E" w:rsidRPr="00A64684">
        <w:rPr>
          <w:rFonts w:ascii="Trebuchet MS" w:hAnsi="Trebuchet MS"/>
          <w:sz w:val="20"/>
          <w:szCs w:val="20"/>
        </w:rPr>
        <w:t xml:space="preserve">% del PIB, frente al </w:t>
      </w:r>
      <w:r w:rsidR="00AE1F8D" w:rsidRPr="00A64684">
        <w:rPr>
          <w:rFonts w:ascii="Trebuchet MS" w:hAnsi="Trebuchet MS"/>
          <w:sz w:val="20"/>
          <w:szCs w:val="20"/>
        </w:rPr>
        <w:t>8,7</w:t>
      </w:r>
      <w:r w:rsidRPr="00A64684">
        <w:rPr>
          <w:rFonts w:ascii="Trebuchet MS" w:hAnsi="Trebuchet MS"/>
          <w:sz w:val="20"/>
          <w:szCs w:val="20"/>
        </w:rPr>
        <w:t>% de Honduras,</w:t>
      </w:r>
      <w:r w:rsidR="00AE1F8D" w:rsidRPr="00A64684">
        <w:rPr>
          <w:rFonts w:ascii="Trebuchet MS" w:hAnsi="Trebuchet MS"/>
          <w:sz w:val="20"/>
          <w:szCs w:val="20"/>
        </w:rPr>
        <w:t xml:space="preserve"> el 9 </w:t>
      </w:r>
      <w:r w:rsidRPr="00A64684">
        <w:rPr>
          <w:rFonts w:ascii="Trebuchet MS" w:hAnsi="Trebuchet MS"/>
          <w:sz w:val="20"/>
          <w:szCs w:val="20"/>
        </w:rPr>
        <w:t>% de Nicaragua</w:t>
      </w:r>
      <w:r w:rsidR="00FD5F2B" w:rsidRPr="00A64684">
        <w:rPr>
          <w:rFonts w:ascii="Trebuchet MS" w:hAnsi="Trebuchet MS"/>
          <w:sz w:val="20"/>
          <w:szCs w:val="20"/>
        </w:rPr>
        <w:t>, el 5,5% chino o el 17,14</w:t>
      </w:r>
      <w:r w:rsidR="00AE1F8D" w:rsidRPr="00A64684">
        <w:rPr>
          <w:rFonts w:ascii="Trebuchet MS" w:hAnsi="Trebuchet MS"/>
          <w:sz w:val="20"/>
          <w:szCs w:val="20"/>
        </w:rPr>
        <w:t>%</w:t>
      </w:r>
      <w:r w:rsidR="00FD5F2B" w:rsidRPr="00A64684">
        <w:rPr>
          <w:rFonts w:ascii="Trebuchet MS" w:hAnsi="Trebuchet MS"/>
          <w:sz w:val="20"/>
          <w:szCs w:val="20"/>
        </w:rPr>
        <w:t xml:space="preserve"> estadounidense.</w:t>
      </w:r>
      <w:r w:rsidRPr="00A64684">
        <w:rPr>
          <w:rFonts w:ascii="Trebuchet MS" w:hAnsi="Trebuchet MS"/>
          <w:sz w:val="20"/>
          <w:szCs w:val="20"/>
        </w:rPr>
        <w:t xml:space="preserve"> </w:t>
      </w:r>
      <w:r w:rsidR="00075C0E" w:rsidRPr="00A64684">
        <w:rPr>
          <w:rFonts w:ascii="Trebuchet MS" w:hAnsi="Trebuchet MS"/>
          <w:sz w:val="20"/>
          <w:szCs w:val="20"/>
        </w:rPr>
        <w:t>En España, el gasto en sanid</w:t>
      </w:r>
      <w:r w:rsidR="00FD5F2B" w:rsidRPr="00A64684">
        <w:rPr>
          <w:rFonts w:ascii="Trebuchet MS" w:hAnsi="Trebuchet MS"/>
          <w:sz w:val="20"/>
          <w:szCs w:val="20"/>
        </w:rPr>
        <w:t>ad pública está en torno a un 9,03</w:t>
      </w:r>
      <w:r w:rsidR="00075C0E" w:rsidRPr="00A64684">
        <w:rPr>
          <w:rFonts w:ascii="Trebuchet MS" w:hAnsi="Trebuchet MS"/>
          <w:sz w:val="20"/>
          <w:szCs w:val="20"/>
        </w:rPr>
        <w:t xml:space="preserve">%. </w:t>
      </w:r>
      <w:r w:rsidR="00075C0E" w:rsidRPr="00BF7C9A">
        <w:rPr>
          <w:rFonts w:ascii="Trebuchet MS" w:hAnsi="Trebuchet MS"/>
          <w:sz w:val="20"/>
          <w:szCs w:val="20"/>
        </w:rPr>
        <w:t>En este sentido el 86% de la población rural y el 82% de la urbana no perciben ninguna asistencia económica en salud pública</w:t>
      </w:r>
      <w:r w:rsidR="005379AE" w:rsidRPr="004538E5">
        <w:rPr>
          <w:rStyle w:val="Refdenotaalpie"/>
          <w:rFonts w:asciiTheme="minorHAnsi" w:hAnsiTheme="minorHAnsi"/>
          <w:sz w:val="22"/>
          <w:szCs w:val="22"/>
        </w:rPr>
        <w:footnoteReference w:id="12"/>
      </w:r>
      <w:r w:rsidR="00075C0E" w:rsidRPr="00BF7C9A">
        <w:rPr>
          <w:rFonts w:ascii="Trebuchet MS" w:hAnsi="Trebuchet MS"/>
          <w:sz w:val="20"/>
          <w:szCs w:val="20"/>
        </w:rPr>
        <w:t xml:space="preserve">. </w:t>
      </w:r>
      <w:r w:rsidR="00075C0E" w:rsidRPr="00A64684">
        <w:rPr>
          <w:rFonts w:ascii="Trebuchet MS" w:hAnsi="Trebuchet MS"/>
          <w:sz w:val="20"/>
          <w:szCs w:val="20"/>
        </w:rPr>
        <w:t>Por ejemplo</w:t>
      </w:r>
      <w:r w:rsidR="00075C0E" w:rsidRPr="00246D9A">
        <w:rPr>
          <w:rFonts w:ascii="Trebuchet MS" w:hAnsi="Trebuchet MS"/>
          <w:sz w:val="20"/>
          <w:szCs w:val="20"/>
        </w:rPr>
        <w:t xml:space="preserve">, la India tiene el tercer mayor número de personas (después de Sudáfrica y Nigeria) que viven con </w:t>
      </w:r>
      <w:r w:rsidR="00075C0E" w:rsidRPr="00246D9A">
        <w:rPr>
          <w:rFonts w:ascii="Trebuchet MS" w:hAnsi="Trebuchet MS"/>
          <w:sz w:val="20"/>
          <w:szCs w:val="20"/>
        </w:rPr>
        <w:lastRenderedPageBreak/>
        <w:t>el VIH en el mundo, 2,1 millones de personas que representan alrededor de cuatro de cada 10 personas infectadas con el virus mortal en la región Asia-Pacífico, siendo</w:t>
      </w:r>
      <w:r w:rsidR="00075C0E" w:rsidRPr="00AE1F8D">
        <w:rPr>
          <w:rFonts w:ascii="Trebuchet MS" w:hAnsi="Trebuchet MS"/>
          <w:sz w:val="20"/>
          <w:szCs w:val="20"/>
        </w:rPr>
        <w:t xml:space="preserve"> la preva</w:t>
      </w:r>
      <w:r w:rsidR="00AE1F8D" w:rsidRPr="00AE1F8D">
        <w:rPr>
          <w:rFonts w:ascii="Trebuchet MS" w:hAnsi="Trebuchet MS"/>
          <w:sz w:val="20"/>
          <w:szCs w:val="20"/>
        </w:rPr>
        <w:t>lencia de la enfermedad del 0,3</w:t>
      </w:r>
      <w:r w:rsidR="00075C0E" w:rsidRPr="00AE1F8D">
        <w:rPr>
          <w:rFonts w:ascii="Trebuchet MS" w:hAnsi="Trebuchet MS"/>
          <w:sz w:val="20"/>
          <w:szCs w:val="20"/>
        </w:rPr>
        <w:t xml:space="preserve">% en </w:t>
      </w:r>
      <w:r w:rsidR="00075C0E" w:rsidRPr="00246D9A">
        <w:rPr>
          <w:rFonts w:ascii="Trebuchet MS" w:hAnsi="Trebuchet MS"/>
          <w:sz w:val="20"/>
          <w:szCs w:val="20"/>
        </w:rPr>
        <w:t xml:space="preserve">adultos </w:t>
      </w:r>
      <w:r w:rsidR="00246D9A" w:rsidRPr="00246D9A">
        <w:rPr>
          <w:rFonts w:ascii="Trebuchet MS" w:hAnsi="Trebuchet MS"/>
          <w:sz w:val="20"/>
          <w:szCs w:val="20"/>
        </w:rPr>
        <w:t>(60%</w:t>
      </w:r>
      <w:r w:rsidR="00075C0E" w:rsidRPr="00246D9A">
        <w:rPr>
          <w:rFonts w:ascii="Trebuchet MS" w:hAnsi="Trebuchet MS"/>
          <w:sz w:val="20"/>
          <w:szCs w:val="20"/>
        </w:rPr>
        <w:t xml:space="preserve"> hombres</w:t>
      </w:r>
      <w:r w:rsidR="00246D9A" w:rsidRPr="00246D9A">
        <w:rPr>
          <w:rFonts w:ascii="Trebuchet MS" w:hAnsi="Trebuchet MS"/>
          <w:sz w:val="20"/>
          <w:szCs w:val="20"/>
        </w:rPr>
        <w:t xml:space="preserve"> -1,26 millones de infectados- y 40% </w:t>
      </w:r>
      <w:r w:rsidR="00075C0E" w:rsidRPr="00246D9A">
        <w:rPr>
          <w:rFonts w:ascii="Trebuchet MS" w:hAnsi="Trebuchet MS"/>
          <w:sz w:val="20"/>
          <w:szCs w:val="20"/>
        </w:rPr>
        <w:t>mujeres).</w:t>
      </w:r>
    </w:p>
    <w:p w:rsidR="00075C0E" w:rsidRPr="00D16A6E" w:rsidRDefault="00075C0E" w:rsidP="00CF7A89">
      <w:pPr>
        <w:spacing w:line="276" w:lineRule="auto"/>
        <w:jc w:val="both"/>
        <w:rPr>
          <w:rFonts w:ascii="Trebuchet MS" w:hAnsi="Trebuchet MS"/>
          <w:sz w:val="20"/>
          <w:szCs w:val="20"/>
        </w:rPr>
      </w:pPr>
    </w:p>
    <w:p w:rsidR="008D16CA" w:rsidRPr="00D16A6E" w:rsidRDefault="008D16CA" w:rsidP="00CF7A89">
      <w:pPr>
        <w:spacing w:line="276" w:lineRule="auto"/>
        <w:jc w:val="both"/>
        <w:rPr>
          <w:rFonts w:ascii="Trebuchet MS" w:hAnsi="Trebuchet MS"/>
          <w:sz w:val="20"/>
          <w:szCs w:val="20"/>
        </w:rPr>
      </w:pPr>
    </w:p>
    <w:p w:rsidR="00075C0E" w:rsidRPr="00D16A6E" w:rsidRDefault="008D16CA" w:rsidP="00CF7A89">
      <w:pPr>
        <w:spacing w:line="276" w:lineRule="auto"/>
        <w:jc w:val="both"/>
        <w:rPr>
          <w:rFonts w:ascii="Trebuchet MS" w:hAnsi="Trebuchet MS"/>
          <w:sz w:val="20"/>
          <w:szCs w:val="20"/>
        </w:rPr>
      </w:pPr>
      <w:r>
        <w:rPr>
          <w:rFonts w:ascii="Trebuchet MS" w:hAnsi="Trebuchet MS"/>
          <w:sz w:val="20"/>
          <w:szCs w:val="20"/>
        </w:rPr>
        <w:t>Sesenta</w:t>
      </w:r>
      <w:r w:rsidR="00075C0E" w:rsidRPr="00BF7C9A">
        <w:rPr>
          <w:rFonts w:ascii="Trebuchet MS" w:hAnsi="Trebuchet MS"/>
          <w:sz w:val="20"/>
          <w:szCs w:val="20"/>
        </w:rPr>
        <w:t xml:space="preserve"> años después de que la Constitución</w:t>
      </w:r>
      <w:r w:rsidR="00CB6AEA" w:rsidRPr="00BF7C9A">
        <w:rPr>
          <w:rFonts w:ascii="Trebuchet MS" w:hAnsi="Trebuchet MS"/>
          <w:sz w:val="20"/>
          <w:szCs w:val="20"/>
        </w:rPr>
        <w:t xml:space="preserve"> india</w:t>
      </w:r>
      <w:r w:rsidR="00075C0E" w:rsidRPr="00BF7C9A">
        <w:rPr>
          <w:rFonts w:ascii="Trebuchet MS" w:hAnsi="Trebuchet MS"/>
          <w:sz w:val="20"/>
          <w:szCs w:val="20"/>
        </w:rPr>
        <w:t xml:space="preserve"> reconociera la educación obligatoria y gratuita para los menores de 14 años,</w:t>
      </w:r>
      <w:r w:rsidR="00604210" w:rsidRPr="00BF7C9A">
        <w:rPr>
          <w:rFonts w:ascii="Trebuchet MS" w:hAnsi="Trebuchet MS"/>
          <w:sz w:val="20"/>
          <w:szCs w:val="20"/>
        </w:rPr>
        <w:t xml:space="preserve"> según el censo indio de 2011,</w:t>
      </w:r>
      <w:r w:rsidR="00075C0E" w:rsidRPr="00BF7C9A">
        <w:rPr>
          <w:rFonts w:ascii="Trebuchet MS" w:hAnsi="Trebuchet MS"/>
          <w:sz w:val="20"/>
          <w:szCs w:val="20"/>
        </w:rPr>
        <w:t xml:space="preserve"> un tercio de las mujeres trabajadoras urbanas son analfabetas, en comparación con el 11% de los hombres</w:t>
      </w:r>
      <w:r w:rsidRPr="004538E5">
        <w:rPr>
          <w:rStyle w:val="Refdenotaalpie"/>
          <w:rFonts w:asciiTheme="minorHAnsi" w:hAnsiTheme="minorHAnsi"/>
          <w:sz w:val="22"/>
          <w:szCs w:val="22"/>
        </w:rPr>
        <w:footnoteReference w:id="13"/>
      </w:r>
      <w:r w:rsidR="00075C0E" w:rsidRPr="00BF7C9A">
        <w:rPr>
          <w:rFonts w:ascii="Trebuchet MS" w:hAnsi="Trebuchet MS"/>
          <w:sz w:val="20"/>
          <w:szCs w:val="20"/>
        </w:rPr>
        <w:t>, datos que se ven drásticamente mermados en las zonas rurales, 58% de mujeres trabajadoras analfabetas frente a 28% de hombres trabajadores analfabetos. Prácticamente el 100% de las niñas están escolarizadas en primaria (6-10 años), el porcentaje es de 92,75% para las niñas de los 11 a los 13 años y desciende al 51,58% para las niñas de 14 a 18 años. Mientras que las niñas asistan a la escuela primaria en aproximadamente el mismo número de chicos, la brecha se ensancha a medida que se hacen mayores y más se ven obligados a abandonar para ayudar con el trabajo en el hogar o casarse</w:t>
      </w:r>
      <w:r w:rsidR="007E3156">
        <w:rPr>
          <w:rFonts w:ascii="Trebuchet MS" w:hAnsi="Trebuchet MS"/>
          <w:sz w:val="20"/>
          <w:szCs w:val="20"/>
        </w:rPr>
        <w:t xml:space="preserve">. Recientes datos muestran </w:t>
      </w:r>
      <w:r w:rsidR="007E3156" w:rsidRPr="00917B39">
        <w:rPr>
          <w:rFonts w:ascii="Trebuchet MS" w:hAnsi="Trebuchet MS"/>
          <w:sz w:val="20"/>
          <w:szCs w:val="20"/>
        </w:rPr>
        <w:t>que un 17,3% de las niñas que abandonaron la escuela lo hicieron porque necesitaban trabajar en casa</w:t>
      </w:r>
      <w:r w:rsidR="00075C0E" w:rsidRPr="00BF7C9A">
        <w:rPr>
          <w:rFonts w:ascii="Trebuchet MS" w:hAnsi="Trebuchet MS"/>
          <w:sz w:val="20"/>
          <w:szCs w:val="20"/>
        </w:rPr>
        <w:t xml:space="preserve">. El gasto en educación en la India ha </w:t>
      </w:r>
      <w:r w:rsidR="00075C0E" w:rsidRPr="003B2E15">
        <w:rPr>
          <w:rFonts w:ascii="Trebuchet MS" w:hAnsi="Trebuchet MS"/>
          <w:sz w:val="20"/>
          <w:szCs w:val="20"/>
        </w:rPr>
        <w:t>sido inferior a la media mundial. A nivel mundial, el 4,</w:t>
      </w:r>
      <w:r w:rsidR="007E3156" w:rsidRPr="003B2E15">
        <w:rPr>
          <w:rFonts w:ascii="Trebuchet MS" w:hAnsi="Trebuchet MS"/>
          <w:sz w:val="20"/>
          <w:szCs w:val="20"/>
        </w:rPr>
        <w:t>7</w:t>
      </w:r>
      <w:r w:rsidR="00075C0E" w:rsidRPr="003B2E15">
        <w:rPr>
          <w:rFonts w:ascii="Trebuchet MS" w:hAnsi="Trebuchet MS"/>
          <w:sz w:val="20"/>
          <w:szCs w:val="20"/>
        </w:rPr>
        <w:t>% del PIB se destinó a la educación en 201</w:t>
      </w:r>
      <w:r w:rsidR="007E3156" w:rsidRPr="003B2E15">
        <w:rPr>
          <w:rFonts w:ascii="Trebuchet MS" w:hAnsi="Trebuchet MS"/>
          <w:sz w:val="20"/>
          <w:szCs w:val="20"/>
        </w:rPr>
        <w:t>3</w:t>
      </w:r>
      <w:r w:rsidR="00075C0E" w:rsidRPr="003B2E15">
        <w:rPr>
          <w:rFonts w:ascii="Trebuchet MS" w:hAnsi="Trebuchet MS"/>
          <w:sz w:val="20"/>
          <w:szCs w:val="20"/>
        </w:rPr>
        <w:t>, mientras que la India gastó sólo el 3,</w:t>
      </w:r>
      <w:r w:rsidR="007E3156" w:rsidRPr="003B2E15">
        <w:rPr>
          <w:rFonts w:ascii="Trebuchet MS" w:hAnsi="Trebuchet MS"/>
          <w:sz w:val="20"/>
          <w:szCs w:val="20"/>
        </w:rPr>
        <w:t>8</w:t>
      </w:r>
      <w:r w:rsidR="00075C0E" w:rsidRPr="003B2E15">
        <w:rPr>
          <w:rFonts w:ascii="Trebuchet MS" w:hAnsi="Trebuchet MS"/>
          <w:sz w:val="20"/>
          <w:szCs w:val="20"/>
        </w:rPr>
        <w:t>% del PIB, según datos del Banco Mundial</w:t>
      </w:r>
      <w:r w:rsidR="003B2E15" w:rsidRPr="004538E5">
        <w:rPr>
          <w:rStyle w:val="Refdenotaalpie"/>
          <w:rFonts w:asciiTheme="minorHAnsi" w:hAnsiTheme="minorHAnsi"/>
          <w:sz w:val="22"/>
          <w:szCs w:val="22"/>
        </w:rPr>
        <w:footnoteReference w:id="14"/>
      </w:r>
      <w:r w:rsidR="003B2E15" w:rsidRPr="004538E5">
        <w:rPr>
          <w:rFonts w:asciiTheme="minorHAnsi" w:hAnsiTheme="minorHAnsi"/>
          <w:sz w:val="22"/>
          <w:szCs w:val="22"/>
        </w:rPr>
        <w:t>.</w:t>
      </w:r>
      <w:r w:rsidR="00075C0E" w:rsidRPr="003B2E15">
        <w:rPr>
          <w:rFonts w:ascii="Trebuchet MS" w:hAnsi="Trebuchet MS"/>
          <w:sz w:val="20"/>
          <w:szCs w:val="20"/>
        </w:rPr>
        <w:t xml:space="preserve"> </w:t>
      </w:r>
      <w:r w:rsidR="00075C0E" w:rsidRPr="00AA49D7">
        <w:rPr>
          <w:rFonts w:ascii="Trebuchet MS" w:hAnsi="Trebuchet MS"/>
          <w:sz w:val="20"/>
          <w:szCs w:val="20"/>
        </w:rPr>
        <w:t>El Foro “</w:t>
      </w:r>
      <w:proofErr w:type="spellStart"/>
      <w:r w:rsidR="00075C0E" w:rsidRPr="00AA49D7">
        <w:rPr>
          <w:rFonts w:ascii="Trebuchet MS" w:hAnsi="Trebuchet MS"/>
          <w:sz w:val="20"/>
          <w:szCs w:val="20"/>
        </w:rPr>
        <w:t>Right</w:t>
      </w:r>
      <w:proofErr w:type="spellEnd"/>
      <w:r w:rsidR="00075C0E" w:rsidRPr="00AA49D7">
        <w:rPr>
          <w:rFonts w:ascii="Trebuchet MS" w:hAnsi="Trebuchet MS"/>
          <w:sz w:val="20"/>
          <w:szCs w:val="20"/>
        </w:rPr>
        <w:t xml:space="preserve"> to </w:t>
      </w:r>
      <w:proofErr w:type="spellStart"/>
      <w:r w:rsidR="00075C0E" w:rsidRPr="00AA49D7">
        <w:rPr>
          <w:rFonts w:ascii="Trebuchet MS" w:hAnsi="Trebuchet MS"/>
          <w:sz w:val="20"/>
          <w:szCs w:val="20"/>
        </w:rPr>
        <w:t>Education</w:t>
      </w:r>
      <w:proofErr w:type="spellEnd"/>
      <w:r w:rsidR="00075C0E" w:rsidRPr="00AA49D7">
        <w:rPr>
          <w:rFonts w:ascii="Trebuchet MS" w:hAnsi="Trebuchet MS"/>
          <w:sz w:val="20"/>
          <w:szCs w:val="20"/>
        </w:rPr>
        <w:t>”</w:t>
      </w:r>
      <w:r w:rsidRPr="003B2E15">
        <w:rPr>
          <w:rFonts w:asciiTheme="minorHAnsi" w:hAnsiTheme="minorHAnsi"/>
          <w:sz w:val="22"/>
          <w:szCs w:val="22"/>
        </w:rPr>
        <w:t xml:space="preserve"> </w:t>
      </w:r>
      <w:r w:rsidRPr="003B2E15">
        <w:rPr>
          <w:rStyle w:val="Refdenotaalpie"/>
          <w:rFonts w:asciiTheme="minorHAnsi" w:hAnsiTheme="minorHAnsi"/>
          <w:sz w:val="22"/>
          <w:szCs w:val="22"/>
        </w:rPr>
        <w:footnoteReference w:id="15"/>
      </w:r>
      <w:proofErr w:type="gramStart"/>
      <w:r w:rsidRPr="003B2E15">
        <w:rPr>
          <w:rFonts w:asciiTheme="minorHAnsi" w:hAnsiTheme="minorHAnsi"/>
          <w:sz w:val="22"/>
          <w:szCs w:val="22"/>
        </w:rPr>
        <w:t>,</w:t>
      </w:r>
      <w:r w:rsidR="00075C0E" w:rsidRPr="00AA49D7">
        <w:rPr>
          <w:rFonts w:ascii="Trebuchet MS" w:hAnsi="Trebuchet MS"/>
          <w:sz w:val="20"/>
          <w:szCs w:val="20"/>
        </w:rPr>
        <w:t>,</w:t>
      </w:r>
      <w:proofErr w:type="gramEnd"/>
      <w:r w:rsidR="00075C0E" w:rsidRPr="00AA49D7">
        <w:rPr>
          <w:rFonts w:ascii="Trebuchet MS" w:hAnsi="Trebuchet MS"/>
          <w:sz w:val="20"/>
          <w:szCs w:val="20"/>
        </w:rPr>
        <w:t xml:space="preserve"> un colectivo de la sociedad civil de alrededor de 10.000 organizaciones no gubernamentales (ONG), manifestó que sólo el 5% de las escuelas del Gobierno cumplió con todas las normas básicas para la infraestructura establecida por la ley. Alrededor del 40% de las aulas primarias tenían más de 30 alumnos por aula, y el 60% no tienen electricidad. Además las cifras oficiales muestran que el 21% de los maestros no fueron capacitados profesionalmente. Por tanto, el O</w:t>
      </w:r>
      <w:r w:rsidR="00CB6AEA" w:rsidRPr="00AA49D7">
        <w:rPr>
          <w:rFonts w:ascii="Trebuchet MS" w:hAnsi="Trebuchet MS"/>
          <w:sz w:val="20"/>
          <w:szCs w:val="20"/>
        </w:rPr>
        <w:t>bjetivo</w:t>
      </w:r>
      <w:r w:rsidR="00075C0E" w:rsidRPr="00AA49D7">
        <w:rPr>
          <w:rFonts w:ascii="Trebuchet MS" w:hAnsi="Trebuchet MS"/>
          <w:sz w:val="20"/>
          <w:szCs w:val="20"/>
        </w:rPr>
        <w:t xml:space="preserve"> 4, garantizar una educación inclusiva, equitativa y de calidad y promover oportunidades de aprendizaje durante toda la vida</w:t>
      </w:r>
      <w:r w:rsidR="00F7627B" w:rsidRPr="00AA49D7">
        <w:rPr>
          <w:rFonts w:ascii="Trebuchet MS" w:hAnsi="Trebuchet MS"/>
          <w:sz w:val="20"/>
          <w:szCs w:val="20"/>
        </w:rPr>
        <w:t xml:space="preserve"> para todos</w:t>
      </w:r>
      <w:r w:rsidR="00075C0E" w:rsidRPr="00AA49D7">
        <w:rPr>
          <w:rFonts w:ascii="Trebuchet MS" w:hAnsi="Trebuchet MS"/>
          <w:sz w:val="20"/>
          <w:szCs w:val="20"/>
        </w:rPr>
        <w:t>, es un reto pendiente en la India, ya que tiene que trabajar la inclusión efectiva de todas las castas, especialmente de las personas en situación de pobreza, de las mujeres y garantizar niveles de calidad suficientes para que aumenten los niveles educativos en todos los tramos de edad de la población.</w:t>
      </w:r>
    </w:p>
    <w:p w:rsidR="00075C0E" w:rsidRPr="00D16A6E" w:rsidRDefault="00075C0E" w:rsidP="00CF7A89">
      <w:pPr>
        <w:spacing w:line="276" w:lineRule="auto"/>
        <w:jc w:val="both"/>
        <w:rPr>
          <w:rFonts w:ascii="Trebuchet MS" w:hAnsi="Trebuchet MS"/>
          <w:sz w:val="20"/>
          <w:szCs w:val="20"/>
        </w:rPr>
      </w:pPr>
    </w:p>
    <w:p w:rsidR="00075C0E" w:rsidRDefault="00075C0E" w:rsidP="00CF7A89">
      <w:pPr>
        <w:spacing w:line="276" w:lineRule="auto"/>
        <w:jc w:val="both"/>
        <w:rPr>
          <w:rFonts w:ascii="Trebuchet MS" w:hAnsi="Trebuchet MS"/>
          <w:sz w:val="20"/>
          <w:szCs w:val="20"/>
        </w:rPr>
      </w:pPr>
      <w:r w:rsidRPr="00BF7C9A">
        <w:rPr>
          <w:rFonts w:ascii="Trebuchet MS" w:hAnsi="Trebuchet MS"/>
          <w:sz w:val="20"/>
          <w:szCs w:val="20"/>
        </w:rPr>
        <w:t xml:space="preserve">En cuanto al </w:t>
      </w:r>
      <w:r w:rsidRPr="00AA49D7">
        <w:rPr>
          <w:rFonts w:ascii="Trebuchet MS" w:hAnsi="Trebuchet MS"/>
          <w:b/>
          <w:sz w:val="20"/>
          <w:szCs w:val="20"/>
        </w:rPr>
        <w:t>O</w:t>
      </w:r>
      <w:r w:rsidR="00AA4342" w:rsidRPr="00AA49D7">
        <w:rPr>
          <w:rFonts w:ascii="Trebuchet MS" w:hAnsi="Trebuchet MS"/>
          <w:b/>
          <w:sz w:val="20"/>
          <w:szCs w:val="20"/>
        </w:rPr>
        <w:t>bjetivo</w:t>
      </w:r>
      <w:r w:rsidRPr="00AA49D7">
        <w:rPr>
          <w:rFonts w:ascii="Trebuchet MS" w:hAnsi="Trebuchet MS"/>
          <w:b/>
          <w:sz w:val="20"/>
          <w:szCs w:val="20"/>
        </w:rPr>
        <w:t xml:space="preserve"> 5</w:t>
      </w:r>
      <w:r w:rsidR="00F7627B" w:rsidRPr="00AA49D7">
        <w:rPr>
          <w:rFonts w:ascii="Trebuchet MS" w:hAnsi="Trebuchet MS"/>
          <w:b/>
          <w:sz w:val="20"/>
          <w:szCs w:val="20"/>
        </w:rPr>
        <w:t>,</w:t>
      </w:r>
      <w:r w:rsidRPr="00AA49D7">
        <w:rPr>
          <w:rFonts w:ascii="Trebuchet MS" w:hAnsi="Trebuchet MS"/>
          <w:b/>
          <w:sz w:val="20"/>
          <w:szCs w:val="20"/>
        </w:rPr>
        <w:t xml:space="preserve"> lograr la igualdad entre los géneros y empoderar a todas las mujeres y niñas</w:t>
      </w:r>
      <w:r w:rsidR="00F7627B">
        <w:rPr>
          <w:rFonts w:ascii="Trebuchet MS" w:hAnsi="Trebuchet MS"/>
          <w:sz w:val="20"/>
          <w:szCs w:val="20"/>
        </w:rPr>
        <w:t>,</w:t>
      </w:r>
      <w:r w:rsidRPr="00BF7C9A">
        <w:rPr>
          <w:rFonts w:ascii="Trebuchet MS" w:hAnsi="Trebuchet MS"/>
          <w:sz w:val="20"/>
          <w:szCs w:val="20"/>
        </w:rPr>
        <w:t xml:space="preserve"> es una cuestión que se ha puesto recientemente en la agenda de la política interna de India debido a los sucesos dramáticos de violencia contra las mujeres que se viven en el país, lo cual ha movilizado a buena parte de la sociedad india.</w:t>
      </w:r>
      <w:r w:rsidR="00734C42" w:rsidRPr="00F10727">
        <w:rPr>
          <w:rFonts w:ascii="Trebuchet MS" w:hAnsi="Trebuchet MS"/>
          <w:sz w:val="20"/>
          <w:szCs w:val="20"/>
        </w:rPr>
        <w:t xml:space="preserve"> En cuanto al matrimonio infantil, India se sitúa en los porcentajes más altos, s</w:t>
      </w:r>
      <w:r w:rsidR="00734C42" w:rsidRPr="00BF7C9A">
        <w:rPr>
          <w:rFonts w:ascii="Trebuchet MS" w:hAnsi="Trebuchet MS"/>
          <w:sz w:val="20"/>
          <w:szCs w:val="20"/>
        </w:rPr>
        <w:t>egún </w:t>
      </w:r>
      <w:hyperlink r:id="rId8" w:history="1">
        <w:r w:rsidR="00734C42" w:rsidRPr="00BF7C9A">
          <w:rPr>
            <w:rFonts w:ascii="Trebuchet MS" w:hAnsi="Trebuchet MS"/>
            <w:sz w:val="20"/>
            <w:szCs w:val="20"/>
          </w:rPr>
          <w:t>UNICEF</w:t>
        </w:r>
      </w:hyperlink>
      <w:r w:rsidR="00734C42" w:rsidRPr="00BF7C9A">
        <w:rPr>
          <w:rFonts w:ascii="Trebuchet MS" w:hAnsi="Trebuchet MS"/>
          <w:sz w:val="20"/>
          <w:szCs w:val="20"/>
        </w:rPr>
        <w:t>, existe un 56% de casos de matrimonio precoz</w:t>
      </w:r>
      <w:r w:rsidR="00734C42" w:rsidRPr="00BF7C9A">
        <w:rPr>
          <w:rFonts w:ascii="Trebuchet MS" w:hAnsi="Trebuchet MS"/>
          <w:b/>
          <w:sz w:val="20"/>
          <w:szCs w:val="20"/>
        </w:rPr>
        <w:t> </w:t>
      </w:r>
      <w:r w:rsidR="00734C42" w:rsidRPr="00BF7C9A">
        <w:rPr>
          <w:rFonts w:ascii="Trebuchet MS" w:hAnsi="Trebuchet MS"/>
          <w:sz w:val="20"/>
          <w:szCs w:val="20"/>
        </w:rPr>
        <w:t>en la India rural y un</w:t>
      </w:r>
      <w:r w:rsidR="00734C42" w:rsidRPr="00BF7C9A">
        <w:rPr>
          <w:rFonts w:ascii="Trebuchet MS" w:hAnsi="Trebuchet MS"/>
          <w:b/>
          <w:sz w:val="20"/>
          <w:szCs w:val="20"/>
        </w:rPr>
        <w:t> </w:t>
      </w:r>
      <w:r w:rsidR="00734C42" w:rsidRPr="00BF7C9A">
        <w:rPr>
          <w:rFonts w:ascii="Trebuchet MS" w:hAnsi="Trebuchet MS"/>
          <w:sz w:val="20"/>
          <w:szCs w:val="20"/>
        </w:rPr>
        <w:t>29% en el área urbana.</w:t>
      </w:r>
      <w:r w:rsidRPr="00BF7C9A">
        <w:rPr>
          <w:rFonts w:ascii="Trebuchet MS" w:hAnsi="Trebuchet MS"/>
          <w:sz w:val="20"/>
          <w:szCs w:val="20"/>
        </w:rPr>
        <w:t xml:space="preserve"> Las observaciones de la CEDAW</w:t>
      </w:r>
      <w:r w:rsidR="003B2E15" w:rsidRPr="004538E5">
        <w:rPr>
          <w:rStyle w:val="Refdenotaalpie"/>
          <w:rFonts w:asciiTheme="minorHAnsi" w:hAnsiTheme="minorHAnsi" w:cs="Trebuchet MS"/>
          <w:sz w:val="22"/>
          <w:szCs w:val="22"/>
        </w:rPr>
        <w:footnoteReference w:id="16"/>
      </w:r>
      <w:r w:rsidRPr="00BF7C9A">
        <w:rPr>
          <w:rFonts w:ascii="Trebuchet MS" w:hAnsi="Trebuchet MS"/>
          <w:sz w:val="20"/>
          <w:szCs w:val="20"/>
        </w:rPr>
        <w:t xml:space="preserve"> sobre los avances en materia de reformas legislativas recogen avances significativos en este aspecto, pero recomiendan abordar integralmente la discriminación contra la mujer y promulg</w:t>
      </w:r>
      <w:r w:rsidR="00604210">
        <w:rPr>
          <w:rFonts w:ascii="Trebuchet MS" w:hAnsi="Trebuchet MS"/>
          <w:sz w:val="20"/>
          <w:szCs w:val="20"/>
        </w:rPr>
        <w:t>ar</w:t>
      </w:r>
      <w:r w:rsidRPr="00BF7C9A">
        <w:rPr>
          <w:rFonts w:ascii="Trebuchet MS" w:hAnsi="Trebuchet MS"/>
          <w:sz w:val="20"/>
          <w:szCs w:val="20"/>
        </w:rPr>
        <w:t xml:space="preserve"> una Ley sobre la violencia comunitaria </w:t>
      </w:r>
      <w:r w:rsidR="00604210">
        <w:rPr>
          <w:rFonts w:ascii="Trebuchet MS" w:hAnsi="Trebuchet MS"/>
          <w:sz w:val="20"/>
          <w:szCs w:val="20"/>
        </w:rPr>
        <w:t>que</w:t>
      </w:r>
      <w:r w:rsidRPr="00BF7C9A">
        <w:rPr>
          <w:rFonts w:ascii="Trebuchet MS" w:hAnsi="Trebuchet MS"/>
          <w:sz w:val="20"/>
          <w:szCs w:val="20"/>
        </w:rPr>
        <w:t xml:space="preserve"> garantice un sistema integral de reparación para las víctimas. E</w:t>
      </w:r>
      <w:r w:rsidR="00604210">
        <w:rPr>
          <w:rFonts w:ascii="Trebuchet MS" w:hAnsi="Trebuchet MS"/>
          <w:sz w:val="20"/>
          <w:szCs w:val="20"/>
        </w:rPr>
        <w:t xml:space="preserve">n el </w:t>
      </w:r>
      <w:r w:rsidRPr="00BF7C9A">
        <w:rPr>
          <w:rFonts w:ascii="Trebuchet MS" w:hAnsi="Trebuchet MS"/>
          <w:sz w:val="20"/>
          <w:szCs w:val="20"/>
        </w:rPr>
        <w:t>Índice de Brecha de Género (GIII)</w:t>
      </w:r>
      <w:r w:rsidR="00604210">
        <w:rPr>
          <w:rFonts w:ascii="Trebuchet MS" w:hAnsi="Trebuchet MS"/>
          <w:sz w:val="20"/>
          <w:szCs w:val="20"/>
        </w:rPr>
        <w:t>,</w:t>
      </w:r>
      <w:r w:rsidRPr="00BF7C9A">
        <w:rPr>
          <w:rFonts w:ascii="Trebuchet MS" w:hAnsi="Trebuchet MS"/>
          <w:sz w:val="20"/>
          <w:szCs w:val="20"/>
        </w:rPr>
        <w:t xml:space="preserve"> la India ocupa el puesto </w:t>
      </w:r>
      <w:r w:rsidR="00AA4342" w:rsidRPr="00BF7C9A">
        <w:rPr>
          <w:rFonts w:ascii="Trebuchet MS" w:hAnsi="Trebuchet MS"/>
          <w:sz w:val="20"/>
          <w:szCs w:val="20"/>
        </w:rPr>
        <w:t>87</w:t>
      </w:r>
      <w:r w:rsidRPr="00BF7C9A">
        <w:rPr>
          <w:rFonts w:ascii="Trebuchet MS" w:hAnsi="Trebuchet MS"/>
          <w:sz w:val="20"/>
          <w:szCs w:val="20"/>
        </w:rPr>
        <w:t xml:space="preserve"> de 14</w:t>
      </w:r>
      <w:r w:rsidR="0052082D" w:rsidRPr="00BF7C9A">
        <w:rPr>
          <w:rFonts w:ascii="Trebuchet MS" w:hAnsi="Trebuchet MS"/>
          <w:sz w:val="20"/>
          <w:szCs w:val="20"/>
        </w:rPr>
        <w:t>4</w:t>
      </w:r>
      <w:r w:rsidRPr="00BF7C9A">
        <w:rPr>
          <w:rFonts w:ascii="Trebuchet MS" w:hAnsi="Trebuchet MS"/>
          <w:sz w:val="20"/>
          <w:szCs w:val="20"/>
        </w:rPr>
        <w:t xml:space="preserve"> </w:t>
      </w:r>
      <w:r w:rsidR="00604210">
        <w:rPr>
          <w:rFonts w:ascii="Trebuchet MS" w:hAnsi="Trebuchet MS"/>
          <w:sz w:val="20"/>
          <w:szCs w:val="20"/>
        </w:rPr>
        <w:t>según e</w:t>
      </w:r>
      <w:r w:rsidRPr="00BF7C9A">
        <w:rPr>
          <w:rFonts w:ascii="Trebuchet MS" w:hAnsi="Trebuchet MS"/>
          <w:sz w:val="20"/>
          <w:szCs w:val="20"/>
        </w:rPr>
        <w:t>l Foro Económico Mundial</w:t>
      </w:r>
      <w:r w:rsidR="003B2E15" w:rsidRPr="004538E5">
        <w:rPr>
          <w:rStyle w:val="Refdenotaalpie"/>
          <w:rFonts w:asciiTheme="minorHAnsi" w:hAnsiTheme="minorHAnsi" w:cs="Trebuchet MS"/>
          <w:sz w:val="22"/>
          <w:szCs w:val="22"/>
        </w:rPr>
        <w:footnoteReference w:id="17"/>
      </w:r>
      <w:r w:rsidR="003B2E15" w:rsidRPr="004538E5">
        <w:rPr>
          <w:rFonts w:asciiTheme="minorHAnsi" w:hAnsiTheme="minorHAnsi" w:cs="Trebuchet MS"/>
          <w:sz w:val="22"/>
          <w:szCs w:val="22"/>
        </w:rPr>
        <w:t>.</w:t>
      </w:r>
      <w:r w:rsidR="0052082D" w:rsidRPr="00BF7C9A">
        <w:rPr>
          <w:rFonts w:ascii="Trebuchet MS" w:hAnsi="Trebuchet MS"/>
          <w:sz w:val="20"/>
          <w:szCs w:val="20"/>
        </w:rPr>
        <w:t xml:space="preserve"> T</w:t>
      </w:r>
      <w:r w:rsidR="00604210">
        <w:rPr>
          <w:rFonts w:ascii="Trebuchet MS" w:hAnsi="Trebuchet MS"/>
          <w:sz w:val="20"/>
          <w:szCs w:val="20"/>
        </w:rPr>
        <w:t>ambién t</w:t>
      </w:r>
      <w:r w:rsidR="0052082D" w:rsidRPr="00BF7C9A">
        <w:rPr>
          <w:rFonts w:ascii="Trebuchet MS" w:hAnsi="Trebuchet MS"/>
          <w:sz w:val="20"/>
          <w:szCs w:val="20"/>
        </w:rPr>
        <w:t>iene una brecha de género del 68,32%, esto supone que ha disminuido la diferencia entre hombres y mujeres respe</w:t>
      </w:r>
      <w:r w:rsidR="003B2E15">
        <w:rPr>
          <w:rFonts w:ascii="Trebuchet MS" w:hAnsi="Trebuchet MS"/>
          <w:sz w:val="20"/>
          <w:szCs w:val="20"/>
        </w:rPr>
        <w:t>c</w:t>
      </w:r>
      <w:r w:rsidR="0052082D" w:rsidRPr="00BF7C9A">
        <w:rPr>
          <w:rFonts w:ascii="Trebuchet MS" w:hAnsi="Trebuchet MS"/>
          <w:sz w:val="20"/>
          <w:szCs w:val="20"/>
        </w:rPr>
        <w:t>to al 2015</w:t>
      </w:r>
      <w:r w:rsidRPr="00BF7C9A">
        <w:rPr>
          <w:rFonts w:ascii="Trebuchet MS" w:hAnsi="Trebuchet MS"/>
          <w:sz w:val="20"/>
          <w:szCs w:val="20"/>
        </w:rPr>
        <w:t xml:space="preserve">. Muestra valores bajos </w:t>
      </w:r>
      <w:r w:rsidRPr="00BF7C9A">
        <w:rPr>
          <w:rFonts w:ascii="Trebuchet MS" w:hAnsi="Trebuchet MS"/>
          <w:sz w:val="20"/>
          <w:szCs w:val="20"/>
        </w:rPr>
        <w:lastRenderedPageBreak/>
        <w:t>en lo que respecta a educación, salud e igualdad salarial y altos en el subíndice de empoderamiento político (ya que la presidencia en la India ha estado en varias ocasiones en manos de una mujer</w:t>
      </w:r>
      <w:r w:rsidR="000C637C" w:rsidRPr="00BF7C9A">
        <w:rPr>
          <w:rFonts w:ascii="Trebuchet MS" w:hAnsi="Trebuchet MS"/>
          <w:sz w:val="20"/>
          <w:szCs w:val="20"/>
        </w:rPr>
        <w:t xml:space="preserve"> y</w:t>
      </w:r>
      <w:r w:rsidRPr="00BF7C9A">
        <w:rPr>
          <w:rFonts w:ascii="Trebuchet MS" w:hAnsi="Trebuchet MS"/>
          <w:sz w:val="20"/>
          <w:szCs w:val="20"/>
        </w:rPr>
        <w:t>, aunque no tanto,</w:t>
      </w:r>
      <w:r w:rsidR="000C637C" w:rsidRPr="00BF7C9A">
        <w:rPr>
          <w:rFonts w:ascii="Trebuchet MS" w:hAnsi="Trebuchet MS"/>
          <w:sz w:val="20"/>
          <w:szCs w:val="20"/>
        </w:rPr>
        <w:t xml:space="preserve"> en</w:t>
      </w:r>
      <w:r w:rsidRPr="00BF7C9A">
        <w:rPr>
          <w:rFonts w:ascii="Trebuchet MS" w:hAnsi="Trebuchet MS"/>
          <w:sz w:val="20"/>
          <w:szCs w:val="20"/>
        </w:rPr>
        <w:t xml:space="preserve"> el</w:t>
      </w:r>
      <w:r w:rsidR="000C637C" w:rsidRPr="00510DBA">
        <w:rPr>
          <w:rFonts w:ascii="Trebuchet MS" w:hAnsi="Trebuchet MS"/>
          <w:sz w:val="20"/>
          <w:szCs w:val="20"/>
        </w:rPr>
        <w:t xml:space="preserve"> conjunto del</w:t>
      </w:r>
      <w:r w:rsidRPr="00BF7C9A">
        <w:rPr>
          <w:rFonts w:ascii="Trebuchet MS" w:hAnsi="Trebuchet MS"/>
          <w:sz w:val="20"/>
          <w:szCs w:val="20"/>
        </w:rPr>
        <w:t xml:space="preserve"> poder ejecutivo).</w:t>
      </w:r>
      <w:r w:rsidR="0097169A">
        <w:rPr>
          <w:rFonts w:ascii="Trebuchet MS" w:hAnsi="Trebuchet MS"/>
          <w:sz w:val="20"/>
          <w:szCs w:val="20"/>
        </w:rPr>
        <w:t xml:space="preserve"> </w:t>
      </w:r>
      <w:r w:rsidR="0097169A" w:rsidRPr="00BF7C9A">
        <w:rPr>
          <w:rFonts w:ascii="Trebuchet MS" w:hAnsi="Trebuchet MS"/>
          <w:sz w:val="20"/>
          <w:szCs w:val="20"/>
        </w:rPr>
        <w:t xml:space="preserve">Respecto al Índice de Desigualdad de Género (IDG), </w:t>
      </w:r>
      <w:r w:rsidR="00510DBA" w:rsidRPr="00BF7C9A">
        <w:rPr>
          <w:rFonts w:ascii="Trebuchet MS" w:hAnsi="Trebuchet MS"/>
          <w:sz w:val="20"/>
          <w:szCs w:val="20"/>
        </w:rPr>
        <w:t>ocupa 130 de 155, dentro del grupo 5 por debajo de países como Bolivia, el Salvador (grupo 3) o Nicaragua (grupo 2)</w:t>
      </w:r>
      <w:r w:rsidR="003B2E15">
        <w:rPr>
          <w:rFonts w:ascii="Trebuchet MS" w:hAnsi="Trebuchet MS"/>
          <w:sz w:val="20"/>
          <w:szCs w:val="20"/>
        </w:rPr>
        <w:t>.</w:t>
      </w:r>
    </w:p>
    <w:p w:rsidR="00B911E7" w:rsidRDefault="00B911E7" w:rsidP="00CF7A89">
      <w:pPr>
        <w:spacing w:line="276" w:lineRule="auto"/>
        <w:jc w:val="both"/>
        <w:rPr>
          <w:rFonts w:ascii="Trebuchet MS" w:hAnsi="Trebuchet MS"/>
          <w:sz w:val="20"/>
          <w:szCs w:val="20"/>
        </w:rPr>
      </w:pPr>
    </w:p>
    <w:p w:rsidR="00AD58A4" w:rsidRDefault="00D51678" w:rsidP="00CF7A89">
      <w:pPr>
        <w:pStyle w:val="NormalWeb"/>
        <w:shd w:val="clear" w:color="auto" w:fill="FFFFFF"/>
        <w:spacing w:before="0" w:beforeAutospacing="0" w:after="300" w:afterAutospacing="0" w:line="276" w:lineRule="auto"/>
        <w:jc w:val="both"/>
        <w:rPr>
          <w:rFonts w:ascii="Trebuchet MS" w:hAnsi="Trebuchet MS"/>
          <w:sz w:val="20"/>
          <w:szCs w:val="20"/>
        </w:rPr>
      </w:pPr>
      <w:r w:rsidRPr="00BF7C9A">
        <w:rPr>
          <w:rFonts w:ascii="Trebuchet MS" w:hAnsi="Trebuchet MS"/>
          <w:sz w:val="20"/>
          <w:szCs w:val="20"/>
        </w:rPr>
        <w:t>E</w:t>
      </w:r>
      <w:r w:rsidR="00AD58A4">
        <w:rPr>
          <w:rFonts w:ascii="Trebuchet MS" w:hAnsi="Trebuchet MS"/>
          <w:sz w:val="20"/>
          <w:szCs w:val="20"/>
        </w:rPr>
        <w:t>l</w:t>
      </w:r>
      <w:r w:rsidR="00B911E7" w:rsidRPr="00BF7C9A">
        <w:rPr>
          <w:rFonts w:ascii="Trebuchet MS" w:hAnsi="Trebuchet MS"/>
          <w:sz w:val="20"/>
          <w:szCs w:val="20"/>
        </w:rPr>
        <w:t xml:space="preserve"> </w:t>
      </w:r>
      <w:r w:rsidR="00B911E7" w:rsidRPr="00AA49D7">
        <w:rPr>
          <w:rFonts w:ascii="Trebuchet MS" w:hAnsi="Trebuchet MS"/>
          <w:b/>
          <w:sz w:val="20"/>
          <w:szCs w:val="20"/>
        </w:rPr>
        <w:t>O</w:t>
      </w:r>
      <w:r w:rsidR="00917B39" w:rsidRPr="00AA49D7">
        <w:rPr>
          <w:rFonts w:ascii="Trebuchet MS" w:hAnsi="Trebuchet MS"/>
          <w:b/>
          <w:sz w:val="20"/>
          <w:szCs w:val="20"/>
        </w:rPr>
        <w:t xml:space="preserve">bjetivo </w:t>
      </w:r>
      <w:r w:rsidR="00B911E7" w:rsidRPr="00AA49D7">
        <w:rPr>
          <w:rFonts w:ascii="Trebuchet MS" w:hAnsi="Trebuchet MS"/>
          <w:b/>
          <w:sz w:val="20"/>
          <w:szCs w:val="20"/>
        </w:rPr>
        <w:t>6</w:t>
      </w:r>
      <w:r w:rsidR="00F7627B" w:rsidRPr="00AA49D7">
        <w:rPr>
          <w:rFonts w:ascii="Trebuchet MS" w:hAnsi="Trebuchet MS"/>
          <w:b/>
          <w:sz w:val="20"/>
          <w:szCs w:val="20"/>
        </w:rPr>
        <w:t>,</w:t>
      </w:r>
      <w:r w:rsidRPr="00AA49D7">
        <w:rPr>
          <w:rFonts w:ascii="Trebuchet MS" w:hAnsi="Trebuchet MS"/>
          <w:b/>
          <w:sz w:val="20"/>
          <w:szCs w:val="20"/>
        </w:rPr>
        <w:t xml:space="preserve"> </w:t>
      </w:r>
      <w:r w:rsidR="00917B39" w:rsidRPr="00AA49D7">
        <w:rPr>
          <w:rFonts w:ascii="Trebuchet MS" w:hAnsi="Trebuchet MS"/>
          <w:b/>
          <w:sz w:val="20"/>
          <w:szCs w:val="20"/>
        </w:rPr>
        <w:t>garantizar la disponibilidad de agua y su gestión sostenible y el saneamiento para todos</w:t>
      </w:r>
      <w:r w:rsidR="00F7627B">
        <w:rPr>
          <w:rFonts w:ascii="Trebuchet MS" w:hAnsi="Trebuchet MS"/>
          <w:sz w:val="20"/>
          <w:szCs w:val="20"/>
        </w:rPr>
        <w:t>,</w:t>
      </w:r>
      <w:r w:rsidRPr="00D51678">
        <w:rPr>
          <w:rFonts w:ascii="Trebuchet MS" w:hAnsi="Trebuchet MS"/>
          <w:sz w:val="20"/>
          <w:szCs w:val="20"/>
        </w:rPr>
        <w:t xml:space="preserve"> es parte esencial del mundo en el que queremos vivir.</w:t>
      </w:r>
      <w:r w:rsidR="00917B39" w:rsidRPr="00BF7C9A">
        <w:rPr>
          <w:rFonts w:ascii="Trebuchet MS" w:hAnsi="Trebuchet MS" w:cs="Open Sans"/>
          <w:sz w:val="20"/>
          <w:szCs w:val="20"/>
        </w:rPr>
        <w:t xml:space="preserve"> Hay suficiente agua dulce en el planeta para lograr</w:t>
      </w:r>
      <w:r w:rsidRPr="00BF7C9A">
        <w:rPr>
          <w:rFonts w:ascii="Trebuchet MS" w:hAnsi="Trebuchet MS" w:cs="Open Sans"/>
          <w:sz w:val="20"/>
          <w:szCs w:val="20"/>
        </w:rPr>
        <w:t>lo</w:t>
      </w:r>
      <w:r w:rsidR="002B43C2">
        <w:rPr>
          <w:rFonts w:ascii="Trebuchet MS" w:hAnsi="Trebuchet MS" w:cs="Open Sans"/>
          <w:sz w:val="20"/>
          <w:szCs w:val="20"/>
        </w:rPr>
        <w:t>, s</w:t>
      </w:r>
      <w:r w:rsidR="00917B39" w:rsidRPr="00BF7C9A">
        <w:rPr>
          <w:rFonts w:ascii="Trebuchet MS" w:hAnsi="Trebuchet MS" w:cs="Open Sans"/>
          <w:sz w:val="20"/>
          <w:szCs w:val="20"/>
        </w:rPr>
        <w:t>in embargo, actualmente el reparto del agua no es el adecuado y para el año 2050 se espera que al menos un 25% de la población mundial viva en un país afectado por escasez crónica y reiterada de agua dulce.</w:t>
      </w:r>
      <w:r w:rsidRPr="00BF7C9A">
        <w:rPr>
          <w:rFonts w:ascii="Trebuchet MS" w:hAnsi="Trebuchet MS" w:cs="Open Sans"/>
          <w:sz w:val="20"/>
          <w:szCs w:val="20"/>
        </w:rPr>
        <w:t xml:space="preserve"> En India, </w:t>
      </w:r>
      <w:r w:rsidRPr="00BF7C9A">
        <w:rPr>
          <w:rFonts w:ascii="Trebuchet MS" w:hAnsi="Trebuchet MS"/>
          <w:sz w:val="20"/>
          <w:szCs w:val="20"/>
        </w:rPr>
        <w:t>más de 50 millones de personas sufren enfermedades por el suministro de agua contaminada, y unos 2 millones de niñ</w:t>
      </w:r>
      <w:r w:rsidR="002B43C2">
        <w:rPr>
          <w:rFonts w:ascii="Trebuchet MS" w:hAnsi="Trebuchet MS"/>
          <w:sz w:val="20"/>
          <w:szCs w:val="20"/>
        </w:rPr>
        <w:t>as y niños mueren cada año.</w:t>
      </w:r>
      <w:r w:rsidRPr="00BF7C9A">
        <w:rPr>
          <w:rFonts w:ascii="Trebuchet MS" w:hAnsi="Trebuchet MS"/>
          <w:sz w:val="20"/>
          <w:szCs w:val="20"/>
        </w:rPr>
        <w:t xml:space="preserve"> </w:t>
      </w:r>
      <w:r w:rsidR="00917B39" w:rsidRPr="00BF7C9A">
        <w:rPr>
          <w:rFonts w:ascii="Trebuchet MS" w:hAnsi="Trebuchet MS"/>
          <w:sz w:val="20"/>
          <w:szCs w:val="20"/>
        </w:rPr>
        <w:t xml:space="preserve">Es de destacar que </w:t>
      </w:r>
      <w:r w:rsidRPr="00BF7C9A">
        <w:rPr>
          <w:rFonts w:ascii="Trebuchet MS" w:hAnsi="Trebuchet MS"/>
          <w:sz w:val="20"/>
          <w:szCs w:val="20"/>
        </w:rPr>
        <w:t xml:space="preserve">es </w:t>
      </w:r>
      <w:r w:rsidR="00917B39" w:rsidRPr="00BF7C9A">
        <w:rPr>
          <w:rFonts w:ascii="Trebuchet MS" w:hAnsi="Trebuchet MS"/>
          <w:sz w:val="20"/>
          <w:szCs w:val="20"/>
        </w:rPr>
        <w:t>el país con el mayor número de personas que practican la defecación al aire libre</w:t>
      </w:r>
      <w:r w:rsidRPr="00BF7C9A">
        <w:rPr>
          <w:rFonts w:ascii="Trebuchet MS" w:hAnsi="Trebuchet MS"/>
          <w:sz w:val="20"/>
          <w:szCs w:val="20"/>
        </w:rPr>
        <w:t>,</w:t>
      </w:r>
      <w:r w:rsidR="00917B39" w:rsidRPr="00BF7C9A">
        <w:rPr>
          <w:rFonts w:ascii="Trebuchet MS" w:hAnsi="Trebuchet MS"/>
          <w:sz w:val="20"/>
          <w:szCs w:val="20"/>
        </w:rPr>
        <w:t xml:space="preserve"> </w:t>
      </w:r>
      <w:r w:rsidR="00AD58A4" w:rsidRPr="0087392B">
        <w:rPr>
          <w:rFonts w:ascii="Trebuchet MS" w:hAnsi="Trebuchet MS"/>
          <w:sz w:val="20"/>
          <w:szCs w:val="20"/>
        </w:rPr>
        <w:t>alrededor de un 600 millones en 2014</w:t>
      </w:r>
      <w:r w:rsidR="00AD58A4">
        <w:rPr>
          <w:rFonts w:ascii="Trebuchet MS" w:hAnsi="Trebuchet MS"/>
          <w:sz w:val="20"/>
          <w:szCs w:val="20"/>
        </w:rPr>
        <w:t xml:space="preserve">, </w:t>
      </w:r>
      <w:r w:rsidR="00917B39" w:rsidRPr="00BF7C9A">
        <w:rPr>
          <w:rFonts w:ascii="Trebuchet MS" w:hAnsi="Trebuchet MS"/>
          <w:sz w:val="20"/>
          <w:szCs w:val="20"/>
        </w:rPr>
        <w:t>lo que conlleva gran insalubridad. Mahatma Gandhi ya decía hace más de medio siglo “El saneamiento es más importante que la independencia”.</w:t>
      </w:r>
      <w:r w:rsidRPr="00BF7C9A">
        <w:rPr>
          <w:rFonts w:ascii="Trebuchet MS" w:hAnsi="Trebuchet MS"/>
          <w:sz w:val="20"/>
          <w:szCs w:val="20"/>
        </w:rPr>
        <w:t xml:space="preserve"> </w:t>
      </w:r>
      <w:r w:rsidR="00AD58A4">
        <w:rPr>
          <w:rFonts w:ascii="Trebuchet MS" w:hAnsi="Trebuchet MS"/>
          <w:sz w:val="20"/>
          <w:szCs w:val="20"/>
        </w:rPr>
        <w:t>Los nuevos datos r</w:t>
      </w:r>
      <w:r w:rsidR="00AD58A4" w:rsidRPr="002F4848">
        <w:rPr>
          <w:rFonts w:ascii="Trebuchet MS" w:hAnsi="Trebuchet MS"/>
          <w:sz w:val="20"/>
          <w:szCs w:val="20"/>
        </w:rPr>
        <w:t xml:space="preserve">ecopilados en forma conjunta entre el gobierno y la organización no gubernamental </w:t>
      </w:r>
      <w:proofErr w:type="spellStart"/>
      <w:r w:rsidR="00AD58A4" w:rsidRPr="002F4848">
        <w:rPr>
          <w:rFonts w:ascii="Trebuchet MS" w:hAnsi="Trebuchet MS"/>
          <w:sz w:val="20"/>
          <w:szCs w:val="20"/>
        </w:rPr>
        <w:t>WaterAid</w:t>
      </w:r>
      <w:proofErr w:type="spellEnd"/>
      <w:r w:rsidR="00AD58A4" w:rsidRPr="002F4848">
        <w:rPr>
          <w:rFonts w:ascii="Trebuchet MS" w:hAnsi="Trebuchet MS"/>
          <w:sz w:val="20"/>
          <w:szCs w:val="20"/>
        </w:rPr>
        <w:t xml:space="preserve"> durante la década pasada, </w:t>
      </w:r>
      <w:r w:rsidR="003B2E15">
        <w:rPr>
          <w:rFonts w:ascii="Trebuchet MS" w:hAnsi="Trebuchet MS"/>
          <w:sz w:val="20"/>
          <w:szCs w:val="20"/>
        </w:rPr>
        <w:t>dan</w:t>
      </w:r>
      <w:r w:rsidR="003B2E15" w:rsidRPr="002F4848">
        <w:rPr>
          <w:rFonts w:ascii="Trebuchet MS" w:hAnsi="Trebuchet MS"/>
          <w:sz w:val="20"/>
          <w:szCs w:val="20"/>
        </w:rPr>
        <w:t xml:space="preserve"> </w:t>
      </w:r>
      <w:r w:rsidR="00AD58A4" w:rsidRPr="002F4848">
        <w:rPr>
          <w:rFonts w:ascii="Trebuchet MS" w:hAnsi="Trebuchet MS"/>
          <w:sz w:val="20"/>
          <w:szCs w:val="20"/>
        </w:rPr>
        <w:t>luz sobre las afirmaciones oficiales de que 94% de la población en la zona rural y el 91% en la zona urbana en India tienen acceso a agua. El problema es que hasta ahora las estadísticas of</w:t>
      </w:r>
      <w:r w:rsidR="00AD58A4">
        <w:rPr>
          <w:rFonts w:ascii="Trebuchet MS" w:hAnsi="Trebuchet MS"/>
          <w:sz w:val="20"/>
          <w:szCs w:val="20"/>
        </w:rPr>
        <w:t xml:space="preserve">iciales sobre la calidad del </w:t>
      </w:r>
      <w:r w:rsidR="00AD58A4" w:rsidRPr="002F4848">
        <w:rPr>
          <w:rFonts w:ascii="Trebuchet MS" w:hAnsi="Trebuchet MS"/>
          <w:sz w:val="20"/>
          <w:szCs w:val="20"/>
        </w:rPr>
        <w:t>agua no informaban sobre su calidad, no siendo potable en el mayor número de casos. La principal fuente de contaminación es la materia orgánica fecal, los fertilizantes y pesticidas de los cultivos transgénicos, la falta de saneamiento (escasez de letrinas</w:t>
      </w:r>
      <w:r w:rsidR="00AD58A4">
        <w:rPr>
          <w:rFonts w:ascii="Trebuchet MS" w:hAnsi="Trebuchet MS"/>
          <w:sz w:val="20"/>
          <w:szCs w:val="20"/>
        </w:rPr>
        <w:t>, más de 8.000.000 de hogares no disponen de baños</w:t>
      </w:r>
      <w:r w:rsidR="00AD58A4" w:rsidRPr="002F4848">
        <w:rPr>
          <w:rFonts w:ascii="Trebuchet MS" w:hAnsi="Trebuchet MS"/>
          <w:sz w:val="20"/>
          <w:szCs w:val="20"/>
        </w:rPr>
        <w:t xml:space="preserve"> y fosas sépticas), la sobreexplotación de los recursos subterráneos, los productos químicos filtrados a las fuentes de agua. La contaminación del agua subterránea con arsénico y flúor es otro peligro al que se enfrente </w:t>
      </w:r>
      <w:r w:rsidR="001A1E7C">
        <w:rPr>
          <w:rFonts w:ascii="Trebuchet MS" w:hAnsi="Trebuchet MS"/>
          <w:sz w:val="20"/>
          <w:szCs w:val="20"/>
        </w:rPr>
        <w:t>la población rural en la india, que tiene como fuente principal de recursos económicos la agricultura, con los impactos negativos que ello comporta</w:t>
      </w:r>
    </w:p>
    <w:p w:rsidR="003B2E15" w:rsidRDefault="001A1E7C" w:rsidP="00CF7A89">
      <w:pPr>
        <w:pStyle w:val="NormalWeb"/>
        <w:shd w:val="clear" w:color="auto" w:fill="FFFFFF"/>
        <w:spacing w:before="0" w:beforeAutospacing="0" w:after="300" w:afterAutospacing="0" w:line="276" w:lineRule="auto"/>
        <w:jc w:val="both"/>
        <w:rPr>
          <w:rFonts w:ascii="Trebuchet MS" w:hAnsi="Trebuchet MS"/>
          <w:sz w:val="20"/>
          <w:szCs w:val="20"/>
        </w:rPr>
      </w:pPr>
      <w:r w:rsidRPr="00AA49D7">
        <w:rPr>
          <w:rFonts w:ascii="Trebuchet MS" w:hAnsi="Trebuchet MS"/>
          <w:b/>
          <w:sz w:val="20"/>
          <w:szCs w:val="20"/>
        </w:rPr>
        <w:t>ODS 13</w:t>
      </w:r>
      <w:r w:rsidR="003B2E15" w:rsidRPr="00AA49D7">
        <w:rPr>
          <w:rFonts w:ascii="Trebuchet MS" w:hAnsi="Trebuchet MS"/>
          <w:b/>
          <w:sz w:val="20"/>
          <w:szCs w:val="20"/>
        </w:rPr>
        <w:t xml:space="preserve"> Adoptar medidas urgentes para combatir el cambio climático y sus efectos</w:t>
      </w:r>
      <w:r>
        <w:rPr>
          <w:rFonts w:ascii="Trebuchet MS" w:hAnsi="Trebuchet MS"/>
          <w:sz w:val="20"/>
          <w:szCs w:val="20"/>
        </w:rPr>
        <w:t xml:space="preserve"> </w:t>
      </w:r>
    </w:p>
    <w:p w:rsidR="001A1E7C" w:rsidRPr="00BF7C9A" w:rsidRDefault="001A1E7C" w:rsidP="00CF7A89">
      <w:pPr>
        <w:pStyle w:val="NormalWeb"/>
        <w:shd w:val="clear" w:color="auto" w:fill="FFFFFF"/>
        <w:spacing w:before="0" w:beforeAutospacing="0" w:after="300" w:afterAutospacing="0" w:line="276" w:lineRule="auto"/>
        <w:jc w:val="both"/>
        <w:rPr>
          <w:rFonts w:ascii="Trebuchet MS" w:hAnsi="Trebuchet MS"/>
          <w:sz w:val="20"/>
          <w:szCs w:val="20"/>
        </w:rPr>
      </w:pPr>
      <w:r w:rsidRPr="00BF7C9A">
        <w:rPr>
          <w:rFonts w:ascii="Trebuchet MS" w:hAnsi="Trebuchet MS"/>
          <w:sz w:val="20"/>
          <w:szCs w:val="20"/>
        </w:rPr>
        <w:t xml:space="preserve">Las personas viven en su propia piel las consecuencias del cambio climático, que incluyen cambios en los patrones del </w:t>
      </w:r>
      <w:r w:rsidR="003B2E15">
        <w:rPr>
          <w:rFonts w:ascii="Trebuchet MS" w:hAnsi="Trebuchet MS"/>
          <w:sz w:val="20"/>
          <w:szCs w:val="20"/>
        </w:rPr>
        <w:t>clima</w:t>
      </w:r>
      <w:r w:rsidRPr="00BF7C9A">
        <w:rPr>
          <w:rFonts w:ascii="Trebuchet MS" w:hAnsi="Trebuchet MS"/>
          <w:sz w:val="20"/>
          <w:szCs w:val="20"/>
        </w:rPr>
        <w:t>, el aumento del nivel del mar y los fenómenos meteorológicos más extremos. Las emisiones de gases de efecto invernadero causadas por las actividades humanas hacen que esta amenaza aumente. Las persona</w:t>
      </w:r>
      <w:r w:rsidR="006C4135">
        <w:rPr>
          <w:rFonts w:ascii="Trebuchet MS" w:hAnsi="Trebuchet MS"/>
          <w:sz w:val="20"/>
          <w:szCs w:val="20"/>
        </w:rPr>
        <w:t>s más pobres y vulnerables son</w:t>
      </w:r>
      <w:r w:rsidRPr="00BF7C9A">
        <w:rPr>
          <w:rFonts w:ascii="Trebuchet MS" w:hAnsi="Trebuchet MS"/>
          <w:sz w:val="20"/>
          <w:szCs w:val="20"/>
        </w:rPr>
        <w:t xml:space="preserve"> los más perjudicados.</w:t>
      </w:r>
      <w:r w:rsidR="006C4135">
        <w:rPr>
          <w:rFonts w:ascii="Trebuchet MS" w:hAnsi="Trebuchet MS"/>
          <w:sz w:val="20"/>
          <w:szCs w:val="20"/>
        </w:rPr>
        <w:t xml:space="preserve"> I</w:t>
      </w:r>
      <w:r w:rsidR="006C4135" w:rsidRPr="00BF7C9A">
        <w:rPr>
          <w:rFonts w:ascii="Trebuchet MS" w:hAnsi="Trebuchet MS"/>
          <w:sz w:val="20"/>
          <w:szCs w:val="20"/>
        </w:rPr>
        <w:t>ndia es el tercer emisor mundial de gases con efecto invernadero por detrás de China y Estados Unidos y ha registrado en los últimos años un aumento de fenómenos atmosféricos extremos como inundaciones y sequías. Las consecuencias se traducen en la pérdida de las cosechas por culpa del calentamiento global. De aquí a 2080, se calcula que se perderán dos terceras partes de las cosechas.</w:t>
      </w:r>
    </w:p>
    <w:p w:rsidR="00F53A43" w:rsidRDefault="006C026D" w:rsidP="00CF7A89">
      <w:pPr>
        <w:pStyle w:val="NormalWeb"/>
        <w:spacing w:before="0" w:beforeAutospacing="0" w:after="300" w:afterAutospacing="0" w:line="276" w:lineRule="auto"/>
        <w:jc w:val="both"/>
        <w:rPr>
          <w:rFonts w:ascii="Trebuchet MS" w:hAnsi="Trebuchet MS"/>
          <w:sz w:val="20"/>
          <w:szCs w:val="20"/>
        </w:rPr>
      </w:pPr>
      <w:r w:rsidRPr="006C026D">
        <w:rPr>
          <w:rFonts w:ascii="Trebuchet MS" w:hAnsi="Trebuchet MS"/>
          <w:b/>
          <w:sz w:val="20"/>
          <w:szCs w:val="20"/>
        </w:rPr>
        <w:t>CONCLUSIÓN</w:t>
      </w:r>
      <w:r>
        <w:rPr>
          <w:rFonts w:ascii="Trebuchet MS" w:hAnsi="Trebuchet MS"/>
          <w:sz w:val="20"/>
          <w:szCs w:val="20"/>
        </w:rPr>
        <w:t>:</w:t>
      </w:r>
      <w:r w:rsidR="00075C0E" w:rsidRPr="0057092A">
        <w:rPr>
          <w:rFonts w:ascii="Trebuchet MS" w:hAnsi="Trebuchet MS"/>
          <w:sz w:val="20"/>
          <w:szCs w:val="20"/>
        </w:rPr>
        <w:t xml:space="preserve"> el análisis de las dificultades que existen para avanzar con </w:t>
      </w:r>
      <w:r w:rsidR="00A64684">
        <w:rPr>
          <w:rFonts w:ascii="Trebuchet MS" w:hAnsi="Trebuchet MS"/>
          <w:sz w:val="20"/>
          <w:szCs w:val="20"/>
        </w:rPr>
        <w:t>7</w:t>
      </w:r>
      <w:r w:rsidR="00075C0E" w:rsidRPr="0057092A">
        <w:rPr>
          <w:rFonts w:ascii="Trebuchet MS" w:hAnsi="Trebuchet MS"/>
          <w:sz w:val="20"/>
          <w:szCs w:val="20"/>
        </w:rPr>
        <w:t xml:space="preserve"> Objetivos de Desarrollo Sostenible en la Agenda de Desarrollo Post-2015, que a su vez son derechos humanos básicos fundamentales para el progreso y desarrollo de un país, y las cifras macros y relativas en el acceso a estos derechos humanos en India que se han detallado a lo largo de este análisis, planteamos la necesidad de</w:t>
      </w:r>
      <w:r w:rsidR="000D2AE3">
        <w:rPr>
          <w:rFonts w:ascii="Trebuchet MS" w:hAnsi="Trebuchet MS"/>
          <w:sz w:val="20"/>
          <w:szCs w:val="20"/>
        </w:rPr>
        <w:t xml:space="preserve"> que</w:t>
      </w:r>
      <w:r w:rsidR="00075C0E" w:rsidRPr="0057092A">
        <w:rPr>
          <w:rFonts w:ascii="Trebuchet MS" w:hAnsi="Trebuchet MS"/>
          <w:sz w:val="20"/>
          <w:szCs w:val="20"/>
        </w:rPr>
        <w:t xml:space="preserve"> la </w:t>
      </w:r>
      <w:r w:rsidR="00325A49">
        <w:rPr>
          <w:rFonts w:ascii="Trebuchet MS" w:hAnsi="Trebuchet MS"/>
          <w:sz w:val="20"/>
          <w:szCs w:val="20"/>
        </w:rPr>
        <w:t>Gobierno de Navarra</w:t>
      </w:r>
      <w:r w:rsidR="000D2AE3">
        <w:rPr>
          <w:rFonts w:ascii="Trebuchet MS" w:hAnsi="Trebuchet MS"/>
          <w:sz w:val="20"/>
          <w:szCs w:val="20"/>
        </w:rPr>
        <w:t xml:space="preserve"> incluy</w:t>
      </w:r>
      <w:r>
        <w:rPr>
          <w:rFonts w:ascii="Trebuchet MS" w:hAnsi="Trebuchet MS"/>
          <w:sz w:val="20"/>
          <w:szCs w:val="20"/>
        </w:rPr>
        <w:t xml:space="preserve">a a India como país prioritario para la cooperación navarra. </w:t>
      </w:r>
    </w:p>
    <w:p w:rsidR="00CF7A89" w:rsidRDefault="00CF7A89" w:rsidP="00CF7A89">
      <w:pPr>
        <w:pStyle w:val="NormalWeb"/>
        <w:spacing w:before="0" w:beforeAutospacing="0" w:after="300" w:afterAutospacing="0" w:line="276" w:lineRule="auto"/>
        <w:jc w:val="both"/>
        <w:rPr>
          <w:rFonts w:ascii="Trebuchet MS" w:hAnsi="Trebuchet MS"/>
          <w:sz w:val="20"/>
          <w:szCs w:val="20"/>
        </w:rPr>
      </w:pPr>
    </w:p>
    <w:p w:rsidR="004B450A" w:rsidRPr="00CF7A89" w:rsidRDefault="004B450A" w:rsidP="00CF7A89">
      <w:pPr>
        <w:pStyle w:val="Prrafodelista"/>
        <w:numPr>
          <w:ilvl w:val="0"/>
          <w:numId w:val="5"/>
        </w:numPr>
        <w:spacing w:line="276" w:lineRule="auto"/>
        <w:jc w:val="both"/>
        <w:rPr>
          <w:rFonts w:ascii="Trebuchet MS" w:hAnsi="Trebuchet MS"/>
          <w:b/>
          <w:sz w:val="20"/>
          <w:szCs w:val="20"/>
          <w:u w:val="single"/>
        </w:rPr>
      </w:pPr>
      <w:r w:rsidRPr="00CF7A89">
        <w:rPr>
          <w:rFonts w:ascii="Trebuchet MS" w:hAnsi="Trebuchet MS"/>
          <w:b/>
          <w:sz w:val="20"/>
          <w:szCs w:val="20"/>
          <w:u w:val="single"/>
        </w:rPr>
        <w:t xml:space="preserve">Fundamentación en base a los indicadores de los países prioritarios señalados en el borrador del nuevo Plan Director </w:t>
      </w:r>
    </w:p>
    <w:p w:rsidR="004B450A" w:rsidRPr="004B450A"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r w:rsidRPr="004B450A">
        <w:rPr>
          <w:rFonts w:ascii="Trebuchet MS" w:hAnsi="Trebuchet MS"/>
          <w:sz w:val="20"/>
          <w:szCs w:val="20"/>
        </w:rPr>
        <w:t xml:space="preserve">Probablemente no exista ninguna nación tan compleja, contradictoria y con una diversidad mayor que la India. </w:t>
      </w:r>
      <w:r w:rsidRPr="00CF7A89">
        <w:rPr>
          <w:rFonts w:ascii="Trebuchet MS" w:hAnsi="Trebuchet MS"/>
          <w:sz w:val="20"/>
          <w:szCs w:val="20"/>
        </w:rPr>
        <w:t xml:space="preserve">Una potencia en franco desarrollo, pero donde las desigualdades son evidentes e incomprensibles; tiene más supermillonarios que Japón y también el mayor número de pobres en el mundo.  Es la cara y cruz de una moneda donde la cruz es la indigencia extrema y la cara la riqueza más opulenta. </w:t>
      </w:r>
    </w:p>
    <w:p w:rsidR="004B450A" w:rsidRPr="00CF7A89"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 xml:space="preserve">De los 10 países prioritarios de los planes anteriores y que pretenden mantenerse en el nuevo Plan Director, de acuerdo con el informe del PNUD del 2016, seis de ellos tienen un IDH inferior a India, en tanto que los cuatro restantes están en posiciones superiores. EL IDH es un índice compuesto que mide el promedio en el rendimiento de las tres dimensiones básicas del desarrollo humano: vida larga y saludable, conocimientos y nivel de vida digno. </w:t>
      </w:r>
    </w:p>
    <w:p w:rsidR="004B450A" w:rsidRPr="00CF7A89"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*Datos relacionados al Estado de Palestina correspondientes al informe PNUD 2016.</w:t>
      </w:r>
    </w:p>
    <w:tbl>
      <w:tblPr>
        <w:tblpPr w:leftFromText="141" w:rightFromText="141" w:vertAnchor="text" w:horzAnchor="margin" w:tblpXSpec="center" w:tblpY="-77"/>
        <w:tblW w:w="10125" w:type="dxa"/>
        <w:tblLayout w:type="fixed"/>
        <w:tblCellMar>
          <w:left w:w="70" w:type="dxa"/>
          <w:right w:w="70" w:type="dxa"/>
        </w:tblCellMar>
        <w:tblLook w:val="0000" w:firstRow="0" w:lastRow="0" w:firstColumn="0" w:lastColumn="0" w:noHBand="0" w:noVBand="0"/>
      </w:tblPr>
      <w:tblGrid>
        <w:gridCol w:w="1413"/>
        <w:gridCol w:w="850"/>
        <w:gridCol w:w="1313"/>
        <w:gridCol w:w="1233"/>
        <w:gridCol w:w="1180"/>
        <w:gridCol w:w="814"/>
        <w:gridCol w:w="765"/>
        <w:gridCol w:w="1149"/>
        <w:gridCol w:w="1408"/>
      </w:tblGrid>
      <w:tr w:rsidR="004B450A" w:rsidRPr="00CF7A89" w:rsidTr="00620222">
        <w:trPr>
          <w:trHeight w:val="555"/>
        </w:trPr>
        <w:tc>
          <w:tcPr>
            <w:tcW w:w="1413" w:type="dxa"/>
            <w:tcBorders>
              <w:top w:val="single" w:sz="4" w:space="0" w:color="auto"/>
              <w:left w:val="single" w:sz="4" w:space="0" w:color="auto"/>
              <w:bottom w:val="single" w:sz="4" w:space="0" w:color="auto"/>
              <w:right w:val="single" w:sz="4" w:space="0" w:color="auto"/>
            </w:tcBorders>
            <w:shd w:val="clear" w:color="auto" w:fill="99CCFF"/>
            <w:vAlign w:val="center"/>
          </w:tcPr>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PAÍSES</w:t>
            </w:r>
          </w:p>
        </w:tc>
        <w:tc>
          <w:tcPr>
            <w:tcW w:w="850" w:type="dxa"/>
            <w:tcBorders>
              <w:top w:val="single" w:sz="4" w:space="0" w:color="auto"/>
              <w:left w:val="nil"/>
              <w:bottom w:val="single" w:sz="4" w:space="0" w:color="auto"/>
              <w:right w:val="single" w:sz="4" w:space="0" w:color="auto"/>
            </w:tcBorders>
            <w:shd w:val="clear" w:color="auto" w:fill="99CCFF"/>
          </w:tcPr>
          <w:p w:rsidR="004B450A" w:rsidRPr="00CF7A89"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Posición IDH</w:t>
            </w:r>
          </w:p>
        </w:tc>
        <w:tc>
          <w:tcPr>
            <w:tcW w:w="1313" w:type="dxa"/>
            <w:tcBorders>
              <w:top w:val="single" w:sz="4" w:space="0" w:color="auto"/>
              <w:left w:val="single" w:sz="4" w:space="0" w:color="auto"/>
              <w:bottom w:val="single" w:sz="4" w:space="0" w:color="auto"/>
              <w:right w:val="single" w:sz="4" w:space="0" w:color="auto"/>
            </w:tcBorders>
            <w:shd w:val="clear" w:color="auto" w:fill="99CCFF"/>
            <w:vAlign w:val="center"/>
          </w:tcPr>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IDH</w:t>
            </w:r>
          </w:p>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Ajustado por desigualdad</w:t>
            </w:r>
          </w:p>
          <w:p w:rsidR="004B450A" w:rsidRPr="00CF7A89" w:rsidRDefault="004B450A" w:rsidP="00CF7A89">
            <w:pPr>
              <w:spacing w:line="276" w:lineRule="auto"/>
              <w:jc w:val="both"/>
              <w:rPr>
                <w:rFonts w:ascii="Trebuchet MS" w:hAnsi="Trebuchet MS"/>
                <w:sz w:val="20"/>
                <w:szCs w:val="20"/>
              </w:rPr>
            </w:pPr>
          </w:p>
        </w:tc>
        <w:tc>
          <w:tcPr>
            <w:tcW w:w="1233" w:type="dxa"/>
            <w:tcBorders>
              <w:top w:val="single" w:sz="4" w:space="0" w:color="auto"/>
              <w:left w:val="nil"/>
              <w:bottom w:val="single" w:sz="4" w:space="0" w:color="auto"/>
              <w:right w:val="single" w:sz="4" w:space="0" w:color="auto"/>
            </w:tcBorders>
            <w:shd w:val="clear" w:color="auto" w:fill="99CCFF"/>
            <w:vAlign w:val="center"/>
          </w:tcPr>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IDG (Índice de desarrollo humano relativo al género)</w:t>
            </w:r>
          </w:p>
        </w:tc>
        <w:tc>
          <w:tcPr>
            <w:tcW w:w="1180" w:type="dxa"/>
            <w:tcBorders>
              <w:top w:val="single" w:sz="4" w:space="0" w:color="auto"/>
              <w:left w:val="single" w:sz="4" w:space="0" w:color="auto"/>
              <w:bottom w:val="single" w:sz="4" w:space="0" w:color="auto"/>
              <w:right w:val="single" w:sz="4" w:space="0" w:color="auto"/>
            </w:tcBorders>
            <w:shd w:val="clear" w:color="auto" w:fill="99CCFF"/>
            <w:vAlign w:val="center"/>
          </w:tcPr>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Esperanza vida al nacer (años)</w:t>
            </w:r>
          </w:p>
        </w:tc>
        <w:tc>
          <w:tcPr>
            <w:tcW w:w="814" w:type="dxa"/>
            <w:tcBorders>
              <w:top w:val="single" w:sz="4" w:space="0" w:color="auto"/>
              <w:left w:val="nil"/>
              <w:bottom w:val="single" w:sz="4" w:space="0" w:color="auto"/>
              <w:right w:val="single" w:sz="4" w:space="0" w:color="auto"/>
            </w:tcBorders>
            <w:shd w:val="clear" w:color="auto" w:fill="99CCFF"/>
            <w:vAlign w:val="center"/>
          </w:tcPr>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Media de años de escolaridad</w:t>
            </w:r>
          </w:p>
        </w:tc>
        <w:tc>
          <w:tcPr>
            <w:tcW w:w="765" w:type="dxa"/>
            <w:tcBorders>
              <w:top w:val="single" w:sz="4" w:space="0" w:color="auto"/>
              <w:left w:val="nil"/>
              <w:bottom w:val="single" w:sz="4" w:space="0" w:color="auto"/>
              <w:right w:val="single" w:sz="4" w:space="0" w:color="auto"/>
            </w:tcBorders>
            <w:shd w:val="clear" w:color="auto" w:fill="99CCFF"/>
            <w:vAlign w:val="center"/>
          </w:tcPr>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INB per cápita</w:t>
            </w:r>
          </w:p>
        </w:tc>
        <w:tc>
          <w:tcPr>
            <w:tcW w:w="1149" w:type="dxa"/>
            <w:tcBorders>
              <w:top w:val="single" w:sz="4" w:space="0" w:color="auto"/>
              <w:left w:val="nil"/>
              <w:bottom w:val="single" w:sz="4" w:space="0" w:color="auto"/>
              <w:right w:val="single" w:sz="4" w:space="0" w:color="auto"/>
            </w:tcBorders>
            <w:shd w:val="clear" w:color="auto" w:fill="99CCFF"/>
            <w:vAlign w:val="center"/>
          </w:tcPr>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 xml:space="preserve">Coeficiente </w:t>
            </w:r>
            <w:proofErr w:type="spellStart"/>
            <w:r w:rsidRPr="00CF7A89">
              <w:rPr>
                <w:rFonts w:ascii="Trebuchet MS" w:hAnsi="Trebuchet MS"/>
                <w:sz w:val="20"/>
                <w:szCs w:val="20"/>
              </w:rPr>
              <w:t>Gini</w:t>
            </w:r>
            <w:proofErr w:type="spellEnd"/>
            <w:r w:rsidRPr="00CF7A89">
              <w:rPr>
                <w:rFonts w:ascii="Trebuchet MS" w:hAnsi="Trebuchet MS"/>
                <w:sz w:val="20"/>
                <w:szCs w:val="20"/>
              </w:rPr>
              <w:t xml:space="preserve"> (desigualdad ingresos)</w:t>
            </w:r>
          </w:p>
        </w:tc>
        <w:tc>
          <w:tcPr>
            <w:tcW w:w="1408" w:type="dxa"/>
            <w:tcBorders>
              <w:top w:val="single" w:sz="4" w:space="0" w:color="auto"/>
              <w:left w:val="nil"/>
              <w:bottom w:val="single" w:sz="4" w:space="0" w:color="auto"/>
              <w:right w:val="single" w:sz="4" w:space="0" w:color="auto"/>
            </w:tcBorders>
            <w:shd w:val="clear" w:color="auto" w:fill="99CCFF"/>
            <w:vAlign w:val="center"/>
          </w:tcPr>
          <w:p w:rsidR="004B450A" w:rsidRPr="00CF7A89"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Población en situación de pobreza extrema (%)</w:t>
            </w:r>
          </w:p>
          <w:p w:rsidR="004B450A" w:rsidRPr="00CF7A89"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(tasa de incidencia de pobreza sobre la base de 1,9$/día % de la población)</w:t>
            </w:r>
          </w:p>
        </w:tc>
      </w:tr>
      <w:tr w:rsidR="004B450A" w:rsidRPr="00CF7A89" w:rsidTr="00620222">
        <w:trPr>
          <w:trHeight w:val="269"/>
        </w:trPr>
        <w:tc>
          <w:tcPr>
            <w:tcW w:w="14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El SALVADOR</w:t>
            </w:r>
          </w:p>
        </w:tc>
        <w:tc>
          <w:tcPr>
            <w:tcW w:w="850"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117</w:t>
            </w:r>
          </w:p>
        </w:tc>
        <w:tc>
          <w:tcPr>
            <w:tcW w:w="13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0.529</w:t>
            </w:r>
          </w:p>
        </w:tc>
        <w:tc>
          <w:tcPr>
            <w:tcW w:w="1233"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0.958</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73.51</w:t>
            </w:r>
          </w:p>
        </w:tc>
        <w:tc>
          <w:tcPr>
            <w:tcW w:w="814"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6.5</w:t>
            </w:r>
          </w:p>
        </w:tc>
        <w:tc>
          <w:tcPr>
            <w:tcW w:w="765"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3.920</w:t>
            </w:r>
          </w:p>
        </w:tc>
        <w:tc>
          <w:tcPr>
            <w:tcW w:w="1149"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41.8</w:t>
            </w:r>
          </w:p>
        </w:tc>
        <w:tc>
          <w:tcPr>
            <w:tcW w:w="1408"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2.2</w:t>
            </w:r>
          </w:p>
        </w:tc>
      </w:tr>
      <w:tr w:rsidR="004B450A" w:rsidRPr="00CF7A89" w:rsidTr="00620222">
        <w:trPr>
          <w:trHeight w:val="269"/>
        </w:trPr>
        <w:tc>
          <w:tcPr>
            <w:tcW w:w="14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BOLIVIA</w:t>
            </w:r>
          </w:p>
        </w:tc>
        <w:tc>
          <w:tcPr>
            <w:tcW w:w="850"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118</w:t>
            </w:r>
          </w:p>
        </w:tc>
        <w:tc>
          <w:tcPr>
            <w:tcW w:w="13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0.478</w:t>
            </w:r>
          </w:p>
        </w:tc>
        <w:tc>
          <w:tcPr>
            <w:tcW w:w="1233"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0.934</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69.12</w:t>
            </w:r>
          </w:p>
        </w:tc>
        <w:tc>
          <w:tcPr>
            <w:tcW w:w="814"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8.3</w:t>
            </w:r>
          </w:p>
        </w:tc>
        <w:tc>
          <w:tcPr>
            <w:tcW w:w="765"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3.070</w:t>
            </w:r>
          </w:p>
        </w:tc>
        <w:tc>
          <w:tcPr>
            <w:tcW w:w="1149"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48.4</w:t>
            </w:r>
          </w:p>
        </w:tc>
        <w:tc>
          <w:tcPr>
            <w:tcW w:w="1408"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7.1</w:t>
            </w:r>
          </w:p>
        </w:tc>
      </w:tr>
      <w:tr w:rsidR="004B450A" w:rsidRPr="00CF7A89" w:rsidTr="00620222">
        <w:trPr>
          <w:trHeight w:val="269"/>
        </w:trPr>
        <w:tc>
          <w:tcPr>
            <w:tcW w:w="14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NICARAGUA</w:t>
            </w:r>
          </w:p>
        </w:tc>
        <w:tc>
          <w:tcPr>
            <w:tcW w:w="850"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124</w:t>
            </w:r>
          </w:p>
        </w:tc>
        <w:tc>
          <w:tcPr>
            <w:tcW w:w="13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0.479</w:t>
            </w:r>
          </w:p>
        </w:tc>
        <w:tc>
          <w:tcPr>
            <w:tcW w:w="1233"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0.961</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75.4</w:t>
            </w:r>
          </w:p>
        </w:tc>
        <w:tc>
          <w:tcPr>
            <w:tcW w:w="814"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w:t>
            </w:r>
          </w:p>
        </w:tc>
        <w:tc>
          <w:tcPr>
            <w:tcW w:w="765"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2.100</w:t>
            </w:r>
          </w:p>
        </w:tc>
        <w:tc>
          <w:tcPr>
            <w:tcW w:w="1149"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47.1</w:t>
            </w:r>
          </w:p>
        </w:tc>
        <w:tc>
          <w:tcPr>
            <w:tcW w:w="1408"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3.2 </w:t>
            </w:r>
          </w:p>
        </w:tc>
      </w:tr>
      <w:tr w:rsidR="004B450A" w:rsidRPr="00CF7A89" w:rsidTr="00620222">
        <w:trPr>
          <w:trHeight w:val="269"/>
        </w:trPr>
        <w:tc>
          <w:tcPr>
            <w:tcW w:w="14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GUATEMALA</w:t>
            </w:r>
          </w:p>
        </w:tc>
        <w:tc>
          <w:tcPr>
            <w:tcW w:w="850"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125</w:t>
            </w:r>
          </w:p>
        </w:tc>
        <w:tc>
          <w:tcPr>
            <w:tcW w:w="13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0.450</w:t>
            </w:r>
          </w:p>
        </w:tc>
        <w:tc>
          <w:tcPr>
            <w:tcW w:w="1233"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0.959</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73.41</w:t>
            </w:r>
          </w:p>
        </w:tc>
        <w:tc>
          <w:tcPr>
            <w:tcW w:w="814"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7.1</w:t>
            </w:r>
          </w:p>
        </w:tc>
        <w:tc>
          <w:tcPr>
            <w:tcW w:w="765"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3.790</w:t>
            </w:r>
          </w:p>
        </w:tc>
        <w:tc>
          <w:tcPr>
            <w:tcW w:w="1149"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48.7</w:t>
            </w:r>
          </w:p>
        </w:tc>
        <w:tc>
          <w:tcPr>
            <w:tcW w:w="1408"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8.7</w:t>
            </w:r>
          </w:p>
        </w:tc>
      </w:tr>
      <w:tr w:rsidR="004B450A" w:rsidRPr="00CF7A89" w:rsidTr="00620222">
        <w:trPr>
          <w:trHeight w:val="269"/>
        </w:trPr>
        <w:tc>
          <w:tcPr>
            <w:tcW w:w="1413" w:type="dxa"/>
            <w:tcBorders>
              <w:top w:val="nil"/>
              <w:left w:val="single" w:sz="4" w:space="0" w:color="auto"/>
              <w:bottom w:val="single" w:sz="4" w:space="0" w:color="auto"/>
              <w:right w:val="single" w:sz="4" w:space="0" w:color="auto"/>
            </w:tcBorders>
            <w:shd w:val="clear" w:color="auto" w:fill="FFFF00"/>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INDIA</w:t>
            </w:r>
          </w:p>
        </w:tc>
        <w:tc>
          <w:tcPr>
            <w:tcW w:w="850" w:type="dxa"/>
            <w:tcBorders>
              <w:top w:val="single" w:sz="4" w:space="0" w:color="auto"/>
              <w:left w:val="nil"/>
              <w:bottom w:val="single" w:sz="4" w:space="0" w:color="auto"/>
              <w:right w:val="single" w:sz="4" w:space="0" w:color="auto"/>
            </w:tcBorders>
            <w:shd w:val="clear" w:color="auto" w:fill="FFFF00"/>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131</w:t>
            </w:r>
          </w:p>
        </w:tc>
        <w:tc>
          <w:tcPr>
            <w:tcW w:w="1313" w:type="dxa"/>
            <w:tcBorders>
              <w:top w:val="nil"/>
              <w:left w:val="single" w:sz="4" w:space="0" w:color="auto"/>
              <w:bottom w:val="single" w:sz="4" w:space="0" w:color="auto"/>
              <w:right w:val="single" w:sz="4" w:space="0" w:color="auto"/>
            </w:tcBorders>
            <w:shd w:val="clear" w:color="auto" w:fill="FFFF00"/>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0.454</w:t>
            </w:r>
          </w:p>
        </w:tc>
        <w:tc>
          <w:tcPr>
            <w:tcW w:w="1233" w:type="dxa"/>
            <w:tcBorders>
              <w:top w:val="single" w:sz="4" w:space="0" w:color="auto"/>
              <w:left w:val="nil"/>
              <w:bottom w:val="single" w:sz="4" w:space="0" w:color="auto"/>
              <w:right w:val="single" w:sz="4" w:space="0" w:color="auto"/>
            </w:tcBorders>
            <w:shd w:val="clear" w:color="auto" w:fill="FFFF00"/>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0.53</w:t>
            </w:r>
          </w:p>
        </w:tc>
        <w:tc>
          <w:tcPr>
            <w:tcW w:w="1180" w:type="dxa"/>
            <w:tcBorders>
              <w:top w:val="nil"/>
              <w:left w:val="single" w:sz="4" w:space="0" w:color="auto"/>
              <w:bottom w:val="single" w:sz="4" w:space="0" w:color="auto"/>
              <w:right w:val="single" w:sz="4" w:space="0" w:color="auto"/>
            </w:tcBorders>
            <w:shd w:val="clear" w:color="auto" w:fill="FFFF00"/>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68.56</w:t>
            </w:r>
          </w:p>
        </w:tc>
        <w:tc>
          <w:tcPr>
            <w:tcW w:w="814" w:type="dxa"/>
            <w:tcBorders>
              <w:top w:val="nil"/>
              <w:left w:val="nil"/>
              <w:bottom w:val="single" w:sz="4" w:space="0" w:color="auto"/>
              <w:right w:val="single" w:sz="4" w:space="0" w:color="auto"/>
            </w:tcBorders>
            <w:shd w:val="clear" w:color="auto" w:fill="FFFF00"/>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5.4</w:t>
            </w:r>
          </w:p>
        </w:tc>
        <w:tc>
          <w:tcPr>
            <w:tcW w:w="765" w:type="dxa"/>
            <w:tcBorders>
              <w:top w:val="nil"/>
              <w:left w:val="nil"/>
              <w:bottom w:val="single" w:sz="4" w:space="0" w:color="auto"/>
              <w:right w:val="single" w:sz="4" w:space="0" w:color="auto"/>
            </w:tcBorders>
            <w:shd w:val="clear" w:color="auto" w:fill="FFFF00"/>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1.670</w:t>
            </w:r>
          </w:p>
        </w:tc>
        <w:tc>
          <w:tcPr>
            <w:tcW w:w="1149" w:type="dxa"/>
            <w:tcBorders>
              <w:top w:val="nil"/>
              <w:left w:val="nil"/>
              <w:bottom w:val="single" w:sz="4" w:space="0" w:color="auto"/>
              <w:right w:val="single" w:sz="4" w:space="0" w:color="auto"/>
            </w:tcBorders>
            <w:shd w:val="clear" w:color="auto" w:fill="FFFF00"/>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35.2</w:t>
            </w:r>
          </w:p>
        </w:tc>
        <w:tc>
          <w:tcPr>
            <w:tcW w:w="1408" w:type="dxa"/>
            <w:tcBorders>
              <w:top w:val="nil"/>
              <w:left w:val="nil"/>
              <w:bottom w:val="single" w:sz="4" w:space="0" w:color="auto"/>
              <w:right w:val="single" w:sz="4" w:space="0" w:color="auto"/>
            </w:tcBorders>
            <w:shd w:val="clear" w:color="auto" w:fill="FFFF00"/>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21.2</w:t>
            </w:r>
          </w:p>
        </w:tc>
      </w:tr>
      <w:tr w:rsidR="004B450A" w:rsidRPr="00CF7A89" w:rsidTr="00620222">
        <w:trPr>
          <w:trHeight w:val="269"/>
        </w:trPr>
        <w:tc>
          <w:tcPr>
            <w:tcW w:w="14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RUANDA</w:t>
            </w:r>
          </w:p>
        </w:tc>
        <w:tc>
          <w:tcPr>
            <w:tcW w:w="850"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159</w:t>
            </w:r>
          </w:p>
        </w:tc>
        <w:tc>
          <w:tcPr>
            <w:tcW w:w="13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0.339</w:t>
            </w:r>
          </w:p>
        </w:tc>
        <w:tc>
          <w:tcPr>
            <w:tcW w:w="1233"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0.992</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67.12</w:t>
            </w:r>
          </w:p>
        </w:tc>
        <w:tc>
          <w:tcPr>
            <w:tcW w:w="814"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3.8</w:t>
            </w:r>
          </w:p>
        </w:tc>
        <w:tc>
          <w:tcPr>
            <w:tcW w:w="765"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700</w:t>
            </w:r>
          </w:p>
        </w:tc>
        <w:tc>
          <w:tcPr>
            <w:tcW w:w="1149"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50.4</w:t>
            </w:r>
          </w:p>
        </w:tc>
        <w:tc>
          <w:tcPr>
            <w:tcW w:w="1408"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59.5</w:t>
            </w:r>
          </w:p>
        </w:tc>
      </w:tr>
      <w:tr w:rsidR="004B450A" w:rsidRPr="00CF7A89" w:rsidTr="00620222">
        <w:trPr>
          <w:trHeight w:val="269"/>
        </w:trPr>
        <w:tc>
          <w:tcPr>
            <w:tcW w:w="14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HAITÍ</w:t>
            </w:r>
          </w:p>
        </w:tc>
        <w:tc>
          <w:tcPr>
            <w:tcW w:w="850"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163</w:t>
            </w:r>
          </w:p>
        </w:tc>
        <w:tc>
          <w:tcPr>
            <w:tcW w:w="13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0.298</w:t>
            </w:r>
          </w:p>
        </w:tc>
        <w:tc>
          <w:tcPr>
            <w:tcW w:w="1233"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63.33</w:t>
            </w:r>
          </w:p>
        </w:tc>
        <w:tc>
          <w:tcPr>
            <w:tcW w:w="814"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w:t>
            </w:r>
          </w:p>
        </w:tc>
        <w:tc>
          <w:tcPr>
            <w:tcW w:w="765"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780</w:t>
            </w:r>
          </w:p>
        </w:tc>
        <w:tc>
          <w:tcPr>
            <w:tcW w:w="1149"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60.8</w:t>
            </w:r>
          </w:p>
        </w:tc>
        <w:tc>
          <w:tcPr>
            <w:tcW w:w="1408"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23.5</w:t>
            </w:r>
          </w:p>
        </w:tc>
      </w:tr>
      <w:tr w:rsidR="004B450A" w:rsidRPr="00CF7A89" w:rsidTr="00620222">
        <w:trPr>
          <w:trHeight w:val="269"/>
        </w:trPr>
        <w:tc>
          <w:tcPr>
            <w:tcW w:w="14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MALI</w:t>
            </w:r>
          </w:p>
        </w:tc>
        <w:tc>
          <w:tcPr>
            <w:tcW w:w="850"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175</w:t>
            </w:r>
          </w:p>
        </w:tc>
        <w:tc>
          <w:tcPr>
            <w:tcW w:w="13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0.293</w:t>
            </w:r>
          </w:p>
        </w:tc>
        <w:tc>
          <w:tcPr>
            <w:tcW w:w="1233"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0.786</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57.96</w:t>
            </w:r>
          </w:p>
        </w:tc>
        <w:tc>
          <w:tcPr>
            <w:tcW w:w="814"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1.9</w:t>
            </w:r>
          </w:p>
        </w:tc>
        <w:tc>
          <w:tcPr>
            <w:tcW w:w="765"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770</w:t>
            </w:r>
          </w:p>
        </w:tc>
        <w:tc>
          <w:tcPr>
            <w:tcW w:w="1149"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33.0</w:t>
            </w:r>
          </w:p>
        </w:tc>
        <w:tc>
          <w:tcPr>
            <w:tcW w:w="1408"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49.7</w:t>
            </w:r>
          </w:p>
        </w:tc>
      </w:tr>
      <w:tr w:rsidR="004B450A" w:rsidRPr="00CF7A89" w:rsidTr="00620222">
        <w:trPr>
          <w:trHeight w:val="269"/>
        </w:trPr>
        <w:tc>
          <w:tcPr>
            <w:tcW w:w="14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RD CONGO</w:t>
            </w:r>
          </w:p>
        </w:tc>
        <w:tc>
          <w:tcPr>
            <w:tcW w:w="850"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176</w:t>
            </w:r>
          </w:p>
        </w:tc>
        <w:tc>
          <w:tcPr>
            <w:tcW w:w="13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0.297</w:t>
            </w:r>
          </w:p>
        </w:tc>
        <w:tc>
          <w:tcPr>
            <w:tcW w:w="1233"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0.832</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64.62</w:t>
            </w:r>
          </w:p>
        </w:tc>
        <w:tc>
          <w:tcPr>
            <w:tcW w:w="814"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w:t>
            </w:r>
          </w:p>
        </w:tc>
        <w:tc>
          <w:tcPr>
            <w:tcW w:w="765"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1.710</w:t>
            </w:r>
          </w:p>
        </w:tc>
        <w:tc>
          <w:tcPr>
            <w:tcW w:w="1149"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42.1</w:t>
            </w:r>
          </w:p>
        </w:tc>
        <w:tc>
          <w:tcPr>
            <w:tcW w:w="1408"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37</w:t>
            </w:r>
          </w:p>
        </w:tc>
      </w:tr>
      <w:tr w:rsidR="004B450A" w:rsidRPr="00CF7A89" w:rsidTr="00620222">
        <w:trPr>
          <w:trHeight w:val="269"/>
        </w:trPr>
        <w:tc>
          <w:tcPr>
            <w:tcW w:w="14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MOZAMBIQUE</w:t>
            </w:r>
          </w:p>
        </w:tc>
        <w:tc>
          <w:tcPr>
            <w:tcW w:w="850"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181</w:t>
            </w:r>
          </w:p>
        </w:tc>
        <w:tc>
          <w:tcPr>
            <w:tcW w:w="13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0.280</w:t>
            </w:r>
          </w:p>
        </w:tc>
        <w:tc>
          <w:tcPr>
            <w:tcW w:w="1233"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0.879</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58.3</w:t>
            </w:r>
          </w:p>
        </w:tc>
        <w:tc>
          <w:tcPr>
            <w:tcW w:w="814"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2.4</w:t>
            </w:r>
          </w:p>
        </w:tc>
        <w:tc>
          <w:tcPr>
            <w:tcW w:w="765"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480</w:t>
            </w:r>
          </w:p>
        </w:tc>
        <w:tc>
          <w:tcPr>
            <w:tcW w:w="1149"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45.60</w:t>
            </w:r>
          </w:p>
        </w:tc>
        <w:tc>
          <w:tcPr>
            <w:tcW w:w="1408"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62.9</w:t>
            </w:r>
          </w:p>
        </w:tc>
      </w:tr>
      <w:tr w:rsidR="004B450A" w:rsidRPr="00CF7A89" w:rsidTr="00620222">
        <w:trPr>
          <w:trHeight w:val="269"/>
        </w:trPr>
        <w:tc>
          <w:tcPr>
            <w:tcW w:w="14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PUEBLO PALESTINO*</w:t>
            </w:r>
          </w:p>
        </w:tc>
        <w:tc>
          <w:tcPr>
            <w:tcW w:w="850"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114</w:t>
            </w:r>
          </w:p>
        </w:tc>
        <w:tc>
          <w:tcPr>
            <w:tcW w:w="1313"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0.581</w:t>
            </w:r>
          </w:p>
        </w:tc>
        <w:tc>
          <w:tcPr>
            <w:tcW w:w="1233" w:type="dxa"/>
            <w:tcBorders>
              <w:top w:val="single" w:sz="4" w:space="0" w:color="auto"/>
              <w:left w:val="nil"/>
              <w:bottom w:val="single" w:sz="4" w:space="0" w:color="auto"/>
              <w:right w:val="single" w:sz="4" w:space="0" w:color="auto"/>
            </w:tcBorders>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0.867</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73.1</w:t>
            </w:r>
          </w:p>
        </w:tc>
        <w:tc>
          <w:tcPr>
            <w:tcW w:w="814"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9.1</w:t>
            </w:r>
          </w:p>
        </w:tc>
        <w:tc>
          <w:tcPr>
            <w:tcW w:w="765"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w:t>
            </w:r>
          </w:p>
        </w:tc>
        <w:tc>
          <w:tcPr>
            <w:tcW w:w="1149"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34.5</w:t>
            </w:r>
          </w:p>
        </w:tc>
        <w:tc>
          <w:tcPr>
            <w:tcW w:w="1408" w:type="dxa"/>
            <w:tcBorders>
              <w:top w:val="nil"/>
              <w:left w:val="nil"/>
              <w:bottom w:val="single" w:sz="4" w:space="0" w:color="auto"/>
              <w:right w:val="single" w:sz="4" w:space="0" w:color="auto"/>
            </w:tcBorders>
            <w:shd w:val="clear" w:color="auto" w:fill="auto"/>
            <w:noWrap/>
            <w:vAlign w:val="center"/>
          </w:tcPr>
          <w:p w:rsidR="004B450A" w:rsidRPr="00CF7A89" w:rsidRDefault="004B450A" w:rsidP="00CF7A89">
            <w:pPr>
              <w:spacing w:line="276" w:lineRule="auto"/>
              <w:rPr>
                <w:rFonts w:ascii="Trebuchet MS" w:hAnsi="Trebuchet MS"/>
                <w:sz w:val="20"/>
                <w:szCs w:val="20"/>
              </w:rPr>
            </w:pPr>
            <w:r w:rsidRPr="00CF7A89">
              <w:rPr>
                <w:rFonts w:ascii="Trebuchet MS" w:hAnsi="Trebuchet MS"/>
                <w:sz w:val="20"/>
                <w:szCs w:val="20"/>
              </w:rPr>
              <w:t>-</w:t>
            </w:r>
          </w:p>
        </w:tc>
      </w:tr>
    </w:tbl>
    <w:p w:rsidR="004B450A" w:rsidRPr="00CF7A89"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La mitad de la población en India no tiene baño. Los servicios públicos de agua son los peores de toda Asia. Ninguna ciudad proporciona a sus habitantes 24 horas continúas de suministro hídrico. Mumbai y Delhi, son las que proporcionan mayor abastecimiento de agua a sus ciudadanos: 12 horas al día</w:t>
      </w:r>
      <w:r w:rsidRPr="00CF7A89">
        <w:rPr>
          <w:rFonts w:ascii="Trebuchet MS" w:hAnsi="Trebuchet MS"/>
          <w:sz w:val="20"/>
          <w:szCs w:val="20"/>
        </w:rPr>
        <w:footnoteReference w:id="18"/>
      </w:r>
      <w:r w:rsidRPr="00CF7A89">
        <w:rPr>
          <w:rFonts w:ascii="Trebuchet MS" w:hAnsi="Trebuchet MS"/>
          <w:sz w:val="20"/>
          <w:szCs w:val="20"/>
        </w:rPr>
        <w:t xml:space="preserve">. </w:t>
      </w:r>
    </w:p>
    <w:p w:rsidR="004B450A" w:rsidRPr="00CF7A89" w:rsidRDefault="004B450A" w:rsidP="00CF7A89">
      <w:pPr>
        <w:spacing w:line="276" w:lineRule="auto"/>
        <w:jc w:val="both"/>
        <w:rPr>
          <w:rFonts w:ascii="Trebuchet MS" w:hAnsi="Trebuchet MS"/>
          <w:sz w:val="20"/>
          <w:szCs w:val="20"/>
        </w:rPr>
      </w:pPr>
    </w:p>
    <w:p w:rsidR="00CF7A89" w:rsidRDefault="00CF7A89" w:rsidP="00CF7A89">
      <w:pPr>
        <w:spacing w:line="276" w:lineRule="auto"/>
        <w:jc w:val="both"/>
        <w:rPr>
          <w:rFonts w:ascii="Trebuchet MS" w:hAnsi="Trebuchet MS"/>
          <w:sz w:val="20"/>
          <w:szCs w:val="20"/>
        </w:rPr>
      </w:pPr>
    </w:p>
    <w:p w:rsidR="00CF7A89" w:rsidRDefault="00CF7A89" w:rsidP="00CF7A89">
      <w:pPr>
        <w:spacing w:line="276" w:lineRule="auto"/>
        <w:jc w:val="both"/>
        <w:rPr>
          <w:rFonts w:ascii="Trebuchet MS" w:hAnsi="Trebuchet MS"/>
          <w:sz w:val="20"/>
          <w:szCs w:val="20"/>
        </w:rPr>
      </w:pPr>
    </w:p>
    <w:p w:rsidR="00CF7A89" w:rsidRDefault="00CF7A89" w:rsidP="00CF7A89">
      <w:pPr>
        <w:spacing w:line="276" w:lineRule="auto"/>
        <w:jc w:val="both"/>
        <w:rPr>
          <w:rFonts w:ascii="Trebuchet MS" w:hAnsi="Trebuchet MS"/>
          <w:sz w:val="20"/>
          <w:szCs w:val="20"/>
        </w:rPr>
      </w:pPr>
    </w:p>
    <w:p w:rsidR="00CF7A89" w:rsidRDefault="00CF7A89" w:rsidP="00CF7A89">
      <w:pPr>
        <w:spacing w:line="276" w:lineRule="auto"/>
        <w:jc w:val="both"/>
        <w:rPr>
          <w:rFonts w:ascii="Trebuchet MS" w:hAnsi="Trebuchet MS"/>
          <w:sz w:val="20"/>
          <w:szCs w:val="20"/>
        </w:rPr>
      </w:pPr>
    </w:p>
    <w:p w:rsidR="00CF7A89" w:rsidRDefault="00CF7A89" w:rsidP="00CF7A89">
      <w:pPr>
        <w:spacing w:line="276" w:lineRule="auto"/>
        <w:jc w:val="both"/>
        <w:rPr>
          <w:rFonts w:ascii="Trebuchet MS" w:hAnsi="Trebuchet MS"/>
          <w:sz w:val="20"/>
          <w:szCs w:val="20"/>
        </w:rPr>
      </w:pPr>
    </w:p>
    <w:tbl>
      <w:tblPr>
        <w:tblpPr w:leftFromText="141" w:rightFromText="141" w:vertAnchor="page" w:horzAnchor="margin" w:tblpXSpec="center" w:tblpY="1613"/>
        <w:tblW w:w="10679" w:type="dxa"/>
        <w:tblLayout w:type="fixed"/>
        <w:tblCellMar>
          <w:left w:w="70" w:type="dxa"/>
          <w:right w:w="70" w:type="dxa"/>
        </w:tblCellMar>
        <w:tblLook w:val="0000" w:firstRow="0" w:lastRow="0" w:firstColumn="0" w:lastColumn="0" w:noHBand="0" w:noVBand="0"/>
      </w:tblPr>
      <w:tblGrid>
        <w:gridCol w:w="1630"/>
        <w:gridCol w:w="1559"/>
        <w:gridCol w:w="1417"/>
        <w:gridCol w:w="1134"/>
        <w:gridCol w:w="993"/>
        <w:gridCol w:w="993"/>
        <w:gridCol w:w="1559"/>
        <w:gridCol w:w="1394"/>
      </w:tblGrid>
      <w:tr w:rsidR="00620222" w:rsidRPr="00CF7A89" w:rsidTr="00620222">
        <w:trPr>
          <w:trHeight w:val="563"/>
        </w:trPr>
        <w:tc>
          <w:tcPr>
            <w:tcW w:w="1630" w:type="dxa"/>
            <w:tcBorders>
              <w:top w:val="single" w:sz="4" w:space="0" w:color="auto"/>
              <w:left w:val="single" w:sz="4" w:space="0" w:color="auto"/>
              <w:bottom w:val="single" w:sz="4" w:space="0" w:color="auto"/>
              <w:right w:val="single" w:sz="4" w:space="0" w:color="auto"/>
            </w:tcBorders>
            <w:shd w:val="clear" w:color="auto" w:fill="99CCFF"/>
            <w:vAlign w:val="center"/>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PAÍSES</w:t>
            </w:r>
          </w:p>
        </w:tc>
        <w:tc>
          <w:tcPr>
            <w:tcW w:w="1559" w:type="dxa"/>
            <w:tcBorders>
              <w:top w:val="single" w:sz="4" w:space="0" w:color="auto"/>
              <w:left w:val="nil"/>
              <w:bottom w:val="single" w:sz="4" w:space="0" w:color="auto"/>
              <w:right w:val="single" w:sz="4" w:space="0" w:color="auto"/>
            </w:tcBorders>
            <w:shd w:val="clear" w:color="auto" w:fill="99CCFF"/>
            <w:vAlign w:val="center"/>
          </w:tcPr>
          <w:p w:rsidR="00620222" w:rsidRPr="00CF7A89" w:rsidRDefault="00620222" w:rsidP="00620222">
            <w:pPr>
              <w:spacing w:line="276" w:lineRule="auto"/>
              <w:jc w:val="both"/>
              <w:rPr>
                <w:rFonts w:ascii="Trebuchet MS" w:hAnsi="Trebuchet MS"/>
                <w:sz w:val="20"/>
                <w:szCs w:val="20"/>
              </w:rPr>
            </w:pPr>
          </w:p>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Indicador de desnutrición infantil (Prevalencia de desnutrición, peso para la edad (% de niños menores de cinco años)</w:t>
            </w:r>
          </w:p>
          <w:p w:rsidR="00620222" w:rsidRPr="00CF7A89" w:rsidRDefault="00620222" w:rsidP="00620222">
            <w:pPr>
              <w:spacing w:line="276" w:lineRule="auto"/>
              <w:jc w:val="both"/>
              <w:rPr>
                <w:rFonts w:ascii="Trebuchet MS" w:hAnsi="Trebuchet MS"/>
                <w:sz w:val="20"/>
                <w:szCs w:val="20"/>
              </w:rPr>
            </w:pPr>
          </w:p>
        </w:tc>
        <w:tc>
          <w:tcPr>
            <w:tcW w:w="1417" w:type="dxa"/>
            <w:tcBorders>
              <w:top w:val="single" w:sz="4" w:space="0" w:color="auto"/>
              <w:left w:val="nil"/>
              <w:bottom w:val="single" w:sz="4" w:space="0" w:color="auto"/>
              <w:right w:val="single" w:sz="4" w:space="0" w:color="auto"/>
            </w:tcBorders>
            <w:shd w:val="clear" w:color="auto" w:fill="99CCFF"/>
            <w:vAlign w:val="center"/>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Indicador de desnutrición adultos (prevalencia de desnutrición % de la población)</w:t>
            </w:r>
          </w:p>
        </w:tc>
        <w:tc>
          <w:tcPr>
            <w:tcW w:w="1134" w:type="dxa"/>
            <w:tcBorders>
              <w:top w:val="single" w:sz="4" w:space="0" w:color="auto"/>
              <w:left w:val="nil"/>
              <w:bottom w:val="single" w:sz="4" w:space="0" w:color="auto"/>
              <w:right w:val="single" w:sz="4" w:space="0" w:color="auto"/>
            </w:tcBorders>
            <w:shd w:val="clear" w:color="auto" w:fill="99CCFF"/>
            <w:vAlign w:val="center"/>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Tasa Mortalidad materna por cada 100 mil nacidos vivos</w:t>
            </w:r>
          </w:p>
        </w:tc>
        <w:tc>
          <w:tcPr>
            <w:tcW w:w="993" w:type="dxa"/>
            <w:tcBorders>
              <w:top w:val="single" w:sz="4" w:space="0" w:color="auto"/>
              <w:left w:val="single" w:sz="4" w:space="0" w:color="auto"/>
              <w:bottom w:val="single" w:sz="4" w:space="0" w:color="auto"/>
              <w:right w:val="single" w:sz="4" w:space="0" w:color="auto"/>
            </w:tcBorders>
            <w:shd w:val="clear" w:color="auto" w:fill="99CCFF"/>
          </w:tcPr>
          <w:p w:rsidR="00620222" w:rsidRPr="00CF7A89" w:rsidRDefault="00620222" w:rsidP="00620222">
            <w:pPr>
              <w:spacing w:line="276" w:lineRule="auto"/>
              <w:jc w:val="both"/>
              <w:rPr>
                <w:rFonts w:ascii="Trebuchet MS" w:hAnsi="Trebuchet MS"/>
                <w:sz w:val="20"/>
                <w:szCs w:val="20"/>
              </w:rPr>
            </w:pPr>
          </w:p>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Muertes de niños menores de 5 años debido a H2O insalubre (x100.000)</w:t>
            </w:r>
          </w:p>
        </w:tc>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Médico por cada mil habitantes</w:t>
            </w:r>
          </w:p>
        </w:tc>
        <w:tc>
          <w:tcPr>
            <w:tcW w:w="1559" w:type="dxa"/>
            <w:tcBorders>
              <w:top w:val="single" w:sz="4" w:space="0" w:color="auto"/>
              <w:left w:val="nil"/>
              <w:bottom w:val="single" w:sz="4" w:space="0" w:color="auto"/>
              <w:right w:val="single" w:sz="4" w:space="0" w:color="auto"/>
            </w:tcBorders>
            <w:shd w:val="clear" w:color="auto" w:fill="99CCFF"/>
            <w:vAlign w:val="center"/>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Tasa de alfabetización varones adultos  (% hombres 15 años o más)</w:t>
            </w:r>
          </w:p>
        </w:tc>
        <w:tc>
          <w:tcPr>
            <w:tcW w:w="1394" w:type="dxa"/>
            <w:tcBorders>
              <w:top w:val="single" w:sz="4" w:space="0" w:color="auto"/>
              <w:left w:val="nil"/>
              <w:bottom w:val="single" w:sz="4" w:space="0" w:color="auto"/>
              <w:right w:val="single" w:sz="4" w:space="0" w:color="auto"/>
            </w:tcBorders>
            <w:shd w:val="clear" w:color="auto" w:fill="99CCFF"/>
            <w:vAlign w:val="center"/>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Tasa de alfabetización mujeres adultas (% mujeres de 15 años o más)</w:t>
            </w:r>
          </w:p>
        </w:tc>
      </w:tr>
      <w:tr w:rsidR="00620222" w:rsidRPr="00CF7A89" w:rsidTr="00620222">
        <w:trPr>
          <w:trHeight w:val="273"/>
        </w:trPr>
        <w:tc>
          <w:tcPr>
            <w:tcW w:w="1630" w:type="dxa"/>
            <w:tcBorders>
              <w:top w:val="nil"/>
              <w:left w:val="single" w:sz="4" w:space="0" w:color="auto"/>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El SALVADOR</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5</w:t>
            </w:r>
          </w:p>
        </w:tc>
        <w:tc>
          <w:tcPr>
            <w:tcW w:w="1417"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12,3</w:t>
            </w:r>
          </w:p>
        </w:tc>
        <w:tc>
          <w:tcPr>
            <w:tcW w:w="1134" w:type="dxa"/>
            <w:tcBorders>
              <w:top w:val="single" w:sz="4" w:space="0" w:color="auto"/>
              <w:left w:val="nil"/>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54</w:t>
            </w:r>
          </w:p>
        </w:tc>
        <w:tc>
          <w:tcPr>
            <w:tcW w:w="993" w:type="dxa"/>
            <w:tcBorders>
              <w:top w:val="nil"/>
              <w:left w:val="single" w:sz="4" w:space="0" w:color="auto"/>
              <w:bottom w:val="single" w:sz="4" w:space="0" w:color="auto"/>
              <w:right w:val="single" w:sz="4" w:space="0" w:color="auto"/>
            </w:tcBorders>
          </w:tcPr>
          <w:p w:rsidR="00620222" w:rsidRPr="00CF7A89" w:rsidRDefault="00620222" w:rsidP="00620222">
            <w:pPr>
              <w:spacing w:line="276" w:lineRule="auto"/>
              <w:rPr>
                <w:rFonts w:ascii="Trebuchet MS" w:hAnsi="Trebuchet MS"/>
                <w:sz w:val="20"/>
                <w:szCs w:val="20"/>
              </w:rPr>
            </w:pPr>
            <w:r w:rsidRPr="00CF7A89">
              <w:rPr>
                <w:rFonts w:ascii="Trebuchet MS" w:hAnsi="Trebuchet MS"/>
                <w:sz w:val="20"/>
                <w:szCs w:val="20"/>
              </w:rPr>
              <w:t>82</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1,596</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90,01</w:t>
            </w:r>
          </w:p>
        </w:tc>
        <w:tc>
          <w:tcPr>
            <w:tcW w:w="1394"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86,217</w:t>
            </w:r>
          </w:p>
        </w:tc>
      </w:tr>
      <w:tr w:rsidR="00620222" w:rsidRPr="00CF7A89" w:rsidTr="00620222">
        <w:trPr>
          <w:trHeight w:val="273"/>
        </w:trPr>
        <w:tc>
          <w:tcPr>
            <w:tcW w:w="1630" w:type="dxa"/>
            <w:tcBorders>
              <w:top w:val="nil"/>
              <w:left w:val="single" w:sz="4" w:space="0" w:color="auto"/>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BOLIVIA</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4,5</w:t>
            </w:r>
          </w:p>
        </w:tc>
        <w:tc>
          <w:tcPr>
            <w:tcW w:w="1417"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20,2</w:t>
            </w:r>
          </w:p>
        </w:tc>
        <w:tc>
          <w:tcPr>
            <w:tcW w:w="1134" w:type="dxa"/>
            <w:tcBorders>
              <w:top w:val="single" w:sz="4" w:space="0" w:color="auto"/>
              <w:left w:val="nil"/>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206</w:t>
            </w:r>
          </w:p>
        </w:tc>
        <w:tc>
          <w:tcPr>
            <w:tcW w:w="993" w:type="dxa"/>
            <w:tcBorders>
              <w:top w:val="nil"/>
              <w:left w:val="single" w:sz="4" w:space="0" w:color="auto"/>
              <w:bottom w:val="single" w:sz="4" w:space="0" w:color="auto"/>
              <w:right w:val="single" w:sz="4" w:space="0" w:color="auto"/>
            </w:tcBorders>
          </w:tcPr>
          <w:p w:rsidR="00620222" w:rsidRPr="00CF7A89" w:rsidRDefault="00620222" w:rsidP="00620222">
            <w:pPr>
              <w:spacing w:line="276" w:lineRule="auto"/>
              <w:rPr>
                <w:rFonts w:ascii="Trebuchet MS" w:hAnsi="Trebuchet MS"/>
                <w:sz w:val="20"/>
                <w:szCs w:val="20"/>
              </w:rPr>
            </w:pPr>
            <w:r w:rsidRPr="00CF7A89">
              <w:rPr>
                <w:rFonts w:ascii="Trebuchet MS" w:hAnsi="Trebuchet MS"/>
                <w:sz w:val="20"/>
                <w:szCs w:val="20"/>
              </w:rPr>
              <w:t>245</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0,473</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95,523</w:t>
            </w:r>
          </w:p>
        </w:tc>
        <w:tc>
          <w:tcPr>
            <w:tcW w:w="1394"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88,583</w:t>
            </w:r>
          </w:p>
        </w:tc>
      </w:tr>
      <w:tr w:rsidR="00620222" w:rsidRPr="00CF7A89" w:rsidTr="00620222">
        <w:trPr>
          <w:trHeight w:val="273"/>
        </w:trPr>
        <w:tc>
          <w:tcPr>
            <w:tcW w:w="1630" w:type="dxa"/>
            <w:tcBorders>
              <w:top w:val="nil"/>
              <w:left w:val="single" w:sz="4" w:space="0" w:color="auto"/>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NICARAGUA</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5,7</w:t>
            </w:r>
          </w:p>
        </w:tc>
        <w:tc>
          <w:tcPr>
            <w:tcW w:w="1417"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17</w:t>
            </w:r>
          </w:p>
        </w:tc>
        <w:tc>
          <w:tcPr>
            <w:tcW w:w="1134" w:type="dxa"/>
            <w:tcBorders>
              <w:top w:val="single" w:sz="4" w:space="0" w:color="auto"/>
              <w:left w:val="nil"/>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150</w:t>
            </w:r>
          </w:p>
        </w:tc>
        <w:tc>
          <w:tcPr>
            <w:tcW w:w="993" w:type="dxa"/>
            <w:tcBorders>
              <w:top w:val="nil"/>
              <w:left w:val="single" w:sz="4" w:space="0" w:color="auto"/>
              <w:bottom w:val="single" w:sz="4" w:space="0" w:color="auto"/>
              <w:right w:val="single" w:sz="4" w:space="0" w:color="auto"/>
            </w:tcBorders>
          </w:tcPr>
          <w:p w:rsidR="00620222" w:rsidRPr="00CF7A89" w:rsidRDefault="00620222" w:rsidP="00620222">
            <w:pPr>
              <w:spacing w:line="276" w:lineRule="auto"/>
              <w:rPr>
                <w:rFonts w:ascii="Trebuchet MS" w:hAnsi="Trebuchet MS"/>
                <w:sz w:val="20"/>
                <w:szCs w:val="20"/>
              </w:rPr>
            </w:pPr>
            <w:r w:rsidRPr="00CF7A89">
              <w:rPr>
                <w:rFonts w:ascii="Trebuchet MS" w:hAnsi="Trebuchet MS"/>
                <w:sz w:val="20"/>
                <w:szCs w:val="20"/>
              </w:rPr>
              <w:t>102</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0,914</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78,096</w:t>
            </w:r>
          </w:p>
        </w:tc>
        <w:tc>
          <w:tcPr>
            <w:tcW w:w="1394"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77,916</w:t>
            </w:r>
          </w:p>
        </w:tc>
      </w:tr>
      <w:tr w:rsidR="00620222" w:rsidRPr="00CF7A89" w:rsidTr="00620222">
        <w:trPr>
          <w:trHeight w:val="273"/>
        </w:trPr>
        <w:tc>
          <w:tcPr>
            <w:tcW w:w="1630" w:type="dxa"/>
            <w:tcBorders>
              <w:top w:val="nil"/>
              <w:left w:val="single" w:sz="4" w:space="0" w:color="auto"/>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GUATEMALA</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12,6</w:t>
            </w:r>
          </w:p>
        </w:tc>
        <w:tc>
          <w:tcPr>
            <w:tcW w:w="1417"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15,6</w:t>
            </w:r>
          </w:p>
        </w:tc>
        <w:tc>
          <w:tcPr>
            <w:tcW w:w="1134" w:type="dxa"/>
            <w:tcBorders>
              <w:top w:val="single" w:sz="4" w:space="0" w:color="auto"/>
              <w:left w:val="nil"/>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88</w:t>
            </w:r>
          </w:p>
        </w:tc>
        <w:tc>
          <w:tcPr>
            <w:tcW w:w="993" w:type="dxa"/>
            <w:tcBorders>
              <w:top w:val="nil"/>
              <w:left w:val="single" w:sz="4" w:space="0" w:color="auto"/>
              <w:bottom w:val="single" w:sz="4" w:space="0" w:color="auto"/>
              <w:right w:val="single" w:sz="4" w:space="0" w:color="auto"/>
            </w:tcBorders>
          </w:tcPr>
          <w:p w:rsidR="00620222" w:rsidRPr="00CF7A89" w:rsidRDefault="00620222" w:rsidP="00620222">
            <w:pPr>
              <w:spacing w:line="276" w:lineRule="auto"/>
              <w:rPr>
                <w:rFonts w:ascii="Trebuchet MS" w:hAnsi="Trebuchet MS"/>
                <w:sz w:val="20"/>
                <w:szCs w:val="20"/>
              </w:rPr>
            </w:pPr>
            <w:r w:rsidRPr="00CF7A89">
              <w:rPr>
                <w:rFonts w:ascii="Trebuchet MS" w:hAnsi="Trebuchet MS"/>
                <w:sz w:val="20"/>
                <w:szCs w:val="20"/>
              </w:rPr>
              <w:t>126</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0,897</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86,756</w:t>
            </w:r>
          </w:p>
        </w:tc>
        <w:tc>
          <w:tcPr>
            <w:tcW w:w="1394"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76,371</w:t>
            </w:r>
          </w:p>
        </w:tc>
      </w:tr>
      <w:tr w:rsidR="00620222" w:rsidRPr="00CF7A89" w:rsidTr="00620222">
        <w:trPr>
          <w:trHeight w:val="273"/>
        </w:trPr>
        <w:tc>
          <w:tcPr>
            <w:tcW w:w="1630" w:type="dxa"/>
            <w:tcBorders>
              <w:top w:val="nil"/>
              <w:left w:val="single" w:sz="4" w:space="0" w:color="auto"/>
              <w:bottom w:val="single" w:sz="4" w:space="0" w:color="auto"/>
              <w:right w:val="single" w:sz="4" w:space="0" w:color="auto"/>
            </w:tcBorders>
            <w:shd w:val="clear" w:color="auto" w:fill="FFFF00"/>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INDIA</w:t>
            </w:r>
          </w:p>
        </w:tc>
        <w:tc>
          <w:tcPr>
            <w:tcW w:w="1559" w:type="dxa"/>
            <w:tcBorders>
              <w:top w:val="nil"/>
              <w:left w:val="nil"/>
              <w:bottom w:val="single" w:sz="4" w:space="0" w:color="auto"/>
              <w:right w:val="single" w:sz="4" w:space="0" w:color="auto"/>
            </w:tcBorders>
            <w:shd w:val="clear" w:color="auto" w:fill="FFFF00"/>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29,4</w:t>
            </w:r>
          </w:p>
        </w:tc>
        <w:tc>
          <w:tcPr>
            <w:tcW w:w="1417" w:type="dxa"/>
            <w:tcBorders>
              <w:top w:val="nil"/>
              <w:left w:val="nil"/>
              <w:bottom w:val="single" w:sz="4" w:space="0" w:color="auto"/>
              <w:right w:val="single" w:sz="4" w:space="0" w:color="auto"/>
            </w:tcBorders>
            <w:shd w:val="clear" w:color="auto" w:fill="FFFF00"/>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14,5</w:t>
            </w:r>
          </w:p>
        </w:tc>
        <w:tc>
          <w:tcPr>
            <w:tcW w:w="1134" w:type="dxa"/>
            <w:tcBorders>
              <w:top w:val="single" w:sz="4" w:space="0" w:color="auto"/>
              <w:left w:val="nil"/>
              <w:bottom w:val="single" w:sz="4" w:space="0" w:color="auto"/>
              <w:right w:val="single" w:sz="4" w:space="0" w:color="auto"/>
            </w:tcBorders>
            <w:shd w:val="clear" w:color="auto" w:fill="FFFF00"/>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174</w:t>
            </w:r>
          </w:p>
        </w:tc>
        <w:tc>
          <w:tcPr>
            <w:tcW w:w="993" w:type="dxa"/>
            <w:tcBorders>
              <w:top w:val="nil"/>
              <w:left w:val="single" w:sz="4" w:space="0" w:color="auto"/>
              <w:bottom w:val="single" w:sz="4" w:space="0" w:color="auto"/>
              <w:right w:val="single" w:sz="4" w:space="0" w:color="auto"/>
            </w:tcBorders>
            <w:shd w:val="clear" w:color="auto" w:fill="FFFF00"/>
          </w:tcPr>
          <w:p w:rsidR="00620222" w:rsidRPr="00CF7A89" w:rsidRDefault="00620222" w:rsidP="00620222">
            <w:pPr>
              <w:spacing w:line="276" w:lineRule="auto"/>
              <w:rPr>
                <w:rFonts w:ascii="Trebuchet MS" w:hAnsi="Trebuchet MS"/>
                <w:sz w:val="20"/>
                <w:szCs w:val="20"/>
              </w:rPr>
            </w:pPr>
            <w:r w:rsidRPr="00CF7A89">
              <w:rPr>
                <w:rFonts w:ascii="Trebuchet MS" w:hAnsi="Trebuchet MS"/>
                <w:sz w:val="20"/>
                <w:szCs w:val="20"/>
              </w:rPr>
              <w:t>316</w:t>
            </w:r>
          </w:p>
        </w:tc>
        <w:tc>
          <w:tcPr>
            <w:tcW w:w="993" w:type="dxa"/>
            <w:tcBorders>
              <w:top w:val="nil"/>
              <w:left w:val="single" w:sz="4" w:space="0" w:color="auto"/>
              <w:bottom w:val="single" w:sz="4" w:space="0" w:color="auto"/>
              <w:right w:val="single" w:sz="4" w:space="0" w:color="auto"/>
            </w:tcBorders>
            <w:shd w:val="clear" w:color="auto" w:fill="FFFF00"/>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0,758</w:t>
            </w:r>
          </w:p>
        </w:tc>
        <w:tc>
          <w:tcPr>
            <w:tcW w:w="1559" w:type="dxa"/>
            <w:tcBorders>
              <w:top w:val="nil"/>
              <w:left w:val="nil"/>
              <w:bottom w:val="single" w:sz="4" w:space="0" w:color="auto"/>
              <w:right w:val="single" w:sz="4" w:space="0" w:color="auto"/>
            </w:tcBorders>
            <w:shd w:val="clear" w:color="auto" w:fill="FFFF00"/>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82.14</w:t>
            </w:r>
          </w:p>
        </w:tc>
        <w:tc>
          <w:tcPr>
            <w:tcW w:w="1394" w:type="dxa"/>
            <w:tcBorders>
              <w:top w:val="nil"/>
              <w:left w:val="nil"/>
              <w:bottom w:val="single" w:sz="4" w:space="0" w:color="auto"/>
              <w:right w:val="single" w:sz="4" w:space="0" w:color="auto"/>
            </w:tcBorders>
            <w:shd w:val="clear" w:color="auto" w:fill="FFFF00"/>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65.46</w:t>
            </w:r>
          </w:p>
        </w:tc>
      </w:tr>
      <w:tr w:rsidR="00620222" w:rsidRPr="00CF7A89" w:rsidTr="00620222">
        <w:trPr>
          <w:trHeight w:val="273"/>
        </w:trPr>
        <w:tc>
          <w:tcPr>
            <w:tcW w:w="1630" w:type="dxa"/>
            <w:tcBorders>
              <w:top w:val="nil"/>
              <w:left w:val="single" w:sz="4" w:space="0" w:color="auto"/>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RUANDA</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11,7</w:t>
            </w:r>
          </w:p>
        </w:tc>
        <w:tc>
          <w:tcPr>
            <w:tcW w:w="1417"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41,1</w:t>
            </w:r>
          </w:p>
        </w:tc>
        <w:tc>
          <w:tcPr>
            <w:tcW w:w="1134" w:type="dxa"/>
            <w:tcBorders>
              <w:top w:val="single" w:sz="4" w:space="0" w:color="auto"/>
              <w:left w:val="nil"/>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290</w:t>
            </w:r>
          </w:p>
        </w:tc>
        <w:tc>
          <w:tcPr>
            <w:tcW w:w="993" w:type="dxa"/>
            <w:tcBorders>
              <w:top w:val="nil"/>
              <w:left w:val="single" w:sz="4" w:space="0" w:color="auto"/>
              <w:bottom w:val="single" w:sz="4" w:space="0" w:color="auto"/>
              <w:right w:val="single" w:sz="4" w:space="0" w:color="auto"/>
            </w:tcBorders>
          </w:tcPr>
          <w:p w:rsidR="00620222" w:rsidRPr="00CF7A89" w:rsidRDefault="00620222" w:rsidP="00620222">
            <w:pPr>
              <w:spacing w:line="276" w:lineRule="auto"/>
              <w:rPr>
                <w:rFonts w:ascii="Trebuchet MS" w:hAnsi="Trebuchet MS"/>
                <w:sz w:val="20"/>
                <w:szCs w:val="20"/>
              </w:rPr>
            </w:pPr>
            <w:r w:rsidRPr="00CF7A89">
              <w:rPr>
                <w:rFonts w:ascii="Trebuchet MS" w:hAnsi="Trebuchet MS"/>
                <w:sz w:val="20"/>
                <w:szCs w:val="20"/>
              </w:rPr>
              <w:t>970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0,064</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72,445</w:t>
            </w:r>
          </w:p>
        </w:tc>
        <w:tc>
          <w:tcPr>
            <w:tcW w:w="1394"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64,664</w:t>
            </w:r>
          </w:p>
        </w:tc>
      </w:tr>
      <w:tr w:rsidR="00620222" w:rsidRPr="00CF7A89" w:rsidTr="00620222">
        <w:trPr>
          <w:trHeight w:val="273"/>
        </w:trPr>
        <w:tc>
          <w:tcPr>
            <w:tcW w:w="1630" w:type="dxa"/>
            <w:tcBorders>
              <w:top w:val="nil"/>
              <w:left w:val="single" w:sz="4" w:space="0" w:color="auto"/>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HAITÍ</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11,6</w:t>
            </w:r>
          </w:p>
        </w:tc>
        <w:tc>
          <w:tcPr>
            <w:tcW w:w="1417"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46,8</w:t>
            </w:r>
          </w:p>
        </w:tc>
        <w:tc>
          <w:tcPr>
            <w:tcW w:w="1134" w:type="dxa"/>
            <w:tcBorders>
              <w:top w:val="single" w:sz="4" w:space="0" w:color="auto"/>
              <w:left w:val="nil"/>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359</w:t>
            </w:r>
          </w:p>
        </w:tc>
        <w:tc>
          <w:tcPr>
            <w:tcW w:w="993" w:type="dxa"/>
            <w:tcBorders>
              <w:top w:val="nil"/>
              <w:left w:val="single" w:sz="4" w:space="0" w:color="auto"/>
              <w:bottom w:val="single" w:sz="4" w:space="0" w:color="auto"/>
              <w:right w:val="single" w:sz="4" w:space="0" w:color="auto"/>
            </w:tcBorders>
          </w:tcPr>
          <w:p w:rsidR="00620222" w:rsidRPr="00CF7A89" w:rsidRDefault="00620222" w:rsidP="00620222">
            <w:pPr>
              <w:spacing w:line="276" w:lineRule="auto"/>
              <w:rPr>
                <w:rFonts w:ascii="Trebuchet MS" w:hAnsi="Trebuchet MS"/>
                <w:sz w:val="20"/>
                <w:szCs w:val="20"/>
              </w:rPr>
            </w:pPr>
            <w:r w:rsidRPr="00CF7A89">
              <w:rPr>
                <w:rFonts w:ascii="Trebuchet MS" w:hAnsi="Trebuchet MS"/>
                <w:sz w:val="20"/>
                <w:szCs w:val="20"/>
              </w:rPr>
              <w:t>428</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0,236</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53,355</w:t>
            </w:r>
          </w:p>
        </w:tc>
        <w:tc>
          <w:tcPr>
            <w:tcW w:w="1394"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44,6</w:t>
            </w:r>
          </w:p>
        </w:tc>
      </w:tr>
      <w:tr w:rsidR="00620222" w:rsidRPr="00CF7A89" w:rsidTr="00620222">
        <w:trPr>
          <w:trHeight w:val="273"/>
        </w:trPr>
        <w:tc>
          <w:tcPr>
            <w:tcW w:w="1630" w:type="dxa"/>
            <w:tcBorders>
              <w:top w:val="nil"/>
              <w:left w:val="single" w:sz="4" w:space="0" w:color="auto"/>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MALI</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27,9</w:t>
            </w:r>
          </w:p>
        </w:tc>
        <w:tc>
          <w:tcPr>
            <w:tcW w:w="1417"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4</w:t>
            </w:r>
          </w:p>
        </w:tc>
        <w:tc>
          <w:tcPr>
            <w:tcW w:w="1134" w:type="dxa"/>
            <w:tcBorders>
              <w:top w:val="single" w:sz="4" w:space="0" w:color="auto"/>
              <w:left w:val="nil"/>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587</w:t>
            </w:r>
          </w:p>
        </w:tc>
        <w:tc>
          <w:tcPr>
            <w:tcW w:w="993" w:type="dxa"/>
            <w:tcBorders>
              <w:top w:val="nil"/>
              <w:left w:val="single" w:sz="4" w:space="0" w:color="auto"/>
              <w:bottom w:val="single" w:sz="4" w:space="0" w:color="auto"/>
              <w:right w:val="single" w:sz="4" w:space="0" w:color="auto"/>
            </w:tcBorders>
          </w:tcPr>
          <w:p w:rsidR="00620222" w:rsidRPr="00CF7A89" w:rsidRDefault="00620222" w:rsidP="00620222">
            <w:pPr>
              <w:spacing w:line="276" w:lineRule="auto"/>
              <w:rPr>
                <w:rFonts w:ascii="Trebuchet MS" w:hAnsi="Trebuchet MS"/>
                <w:sz w:val="20"/>
                <w:szCs w:val="20"/>
              </w:rPr>
            </w:pPr>
            <w:r w:rsidRPr="00CF7A89">
              <w:rPr>
                <w:rFonts w:ascii="Trebuchet MS" w:hAnsi="Trebuchet MS"/>
                <w:sz w:val="20"/>
                <w:szCs w:val="20"/>
              </w:rPr>
              <w:t>880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0,085</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45,066</w:t>
            </w:r>
          </w:p>
        </w:tc>
        <w:tc>
          <w:tcPr>
            <w:tcW w:w="1394"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22,196</w:t>
            </w:r>
          </w:p>
        </w:tc>
      </w:tr>
      <w:tr w:rsidR="00620222" w:rsidRPr="00CF7A89" w:rsidTr="00620222">
        <w:trPr>
          <w:trHeight w:val="273"/>
        </w:trPr>
        <w:tc>
          <w:tcPr>
            <w:tcW w:w="1630" w:type="dxa"/>
            <w:tcBorders>
              <w:top w:val="nil"/>
              <w:left w:val="single" w:sz="4" w:space="0" w:color="auto"/>
              <w:bottom w:val="single" w:sz="4" w:space="0" w:color="auto"/>
              <w:right w:val="single" w:sz="4" w:space="0" w:color="auto"/>
            </w:tcBorders>
            <w:shd w:val="clear" w:color="auto" w:fill="FFFFFF"/>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RD CONGO</w:t>
            </w:r>
          </w:p>
        </w:tc>
        <w:tc>
          <w:tcPr>
            <w:tcW w:w="1559" w:type="dxa"/>
            <w:tcBorders>
              <w:top w:val="nil"/>
              <w:left w:val="nil"/>
              <w:bottom w:val="single" w:sz="4" w:space="0" w:color="auto"/>
              <w:right w:val="single" w:sz="4" w:space="0" w:color="auto"/>
            </w:tcBorders>
            <w:shd w:val="clear" w:color="auto" w:fill="FFFFFF"/>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12,3</w:t>
            </w:r>
          </w:p>
        </w:tc>
        <w:tc>
          <w:tcPr>
            <w:tcW w:w="1417" w:type="dxa"/>
            <w:tcBorders>
              <w:top w:val="nil"/>
              <w:left w:val="nil"/>
              <w:bottom w:val="single" w:sz="4" w:space="0" w:color="auto"/>
              <w:right w:val="single" w:sz="4" w:space="0" w:color="auto"/>
            </w:tcBorders>
            <w:shd w:val="clear" w:color="auto" w:fill="FFFFFF"/>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28,2</w:t>
            </w:r>
          </w:p>
        </w:tc>
        <w:tc>
          <w:tcPr>
            <w:tcW w:w="1134" w:type="dxa"/>
            <w:tcBorders>
              <w:top w:val="single" w:sz="4" w:space="0" w:color="auto"/>
              <w:left w:val="nil"/>
              <w:bottom w:val="single" w:sz="4" w:space="0" w:color="auto"/>
              <w:right w:val="single" w:sz="4" w:space="0" w:color="auto"/>
            </w:tcBorders>
            <w:shd w:val="clear" w:color="auto" w:fill="FFFFFF"/>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442</w:t>
            </w:r>
          </w:p>
        </w:tc>
        <w:tc>
          <w:tcPr>
            <w:tcW w:w="993" w:type="dxa"/>
            <w:tcBorders>
              <w:top w:val="nil"/>
              <w:left w:val="single" w:sz="4" w:space="0" w:color="auto"/>
              <w:bottom w:val="single" w:sz="4" w:space="0" w:color="auto"/>
              <w:right w:val="single" w:sz="4" w:space="0" w:color="auto"/>
            </w:tcBorders>
            <w:shd w:val="clear" w:color="auto" w:fill="FFFFFF"/>
          </w:tcPr>
          <w:p w:rsidR="00620222" w:rsidRPr="00CF7A89" w:rsidRDefault="00620222" w:rsidP="00620222">
            <w:pPr>
              <w:spacing w:line="276" w:lineRule="auto"/>
              <w:rPr>
                <w:rFonts w:ascii="Trebuchet MS" w:hAnsi="Trebuchet MS"/>
                <w:sz w:val="20"/>
                <w:szCs w:val="20"/>
              </w:rPr>
            </w:pPr>
            <w:r w:rsidRPr="00CF7A89">
              <w:rPr>
                <w:rFonts w:ascii="Trebuchet MS" w:hAnsi="Trebuchet MS"/>
                <w:sz w:val="20"/>
                <w:szCs w:val="20"/>
              </w:rPr>
              <w:t>220</w:t>
            </w:r>
          </w:p>
        </w:tc>
        <w:tc>
          <w:tcPr>
            <w:tcW w:w="993" w:type="dxa"/>
            <w:tcBorders>
              <w:top w:val="nil"/>
              <w:left w:val="single" w:sz="4" w:space="0" w:color="auto"/>
              <w:bottom w:val="single" w:sz="4" w:space="0" w:color="auto"/>
              <w:right w:val="single" w:sz="4" w:space="0" w:color="auto"/>
            </w:tcBorders>
            <w:shd w:val="clear" w:color="auto" w:fill="FFFFFF"/>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0,095</w:t>
            </w:r>
          </w:p>
        </w:tc>
        <w:tc>
          <w:tcPr>
            <w:tcW w:w="1559" w:type="dxa"/>
            <w:tcBorders>
              <w:top w:val="nil"/>
              <w:left w:val="nil"/>
              <w:bottom w:val="single" w:sz="4" w:space="0" w:color="auto"/>
              <w:right w:val="single" w:sz="4" w:space="0" w:color="auto"/>
            </w:tcBorders>
            <w:shd w:val="clear" w:color="auto" w:fill="FFFFFF"/>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86,434</w:t>
            </w:r>
          </w:p>
        </w:tc>
        <w:tc>
          <w:tcPr>
            <w:tcW w:w="1394" w:type="dxa"/>
            <w:tcBorders>
              <w:top w:val="nil"/>
              <w:left w:val="nil"/>
              <w:bottom w:val="single" w:sz="4" w:space="0" w:color="auto"/>
              <w:right w:val="single" w:sz="4" w:space="0" w:color="auto"/>
            </w:tcBorders>
            <w:shd w:val="clear" w:color="auto" w:fill="FFFFFF"/>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72,877</w:t>
            </w:r>
          </w:p>
        </w:tc>
      </w:tr>
      <w:tr w:rsidR="00620222" w:rsidRPr="00CF7A89" w:rsidTr="00620222">
        <w:trPr>
          <w:trHeight w:val="273"/>
        </w:trPr>
        <w:tc>
          <w:tcPr>
            <w:tcW w:w="1630" w:type="dxa"/>
            <w:tcBorders>
              <w:top w:val="nil"/>
              <w:left w:val="single" w:sz="4" w:space="0" w:color="auto"/>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MOZAMBIQUE</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15,6</w:t>
            </w:r>
          </w:p>
        </w:tc>
        <w:tc>
          <w:tcPr>
            <w:tcW w:w="1417"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26,6</w:t>
            </w:r>
          </w:p>
        </w:tc>
        <w:tc>
          <w:tcPr>
            <w:tcW w:w="1134" w:type="dxa"/>
            <w:tcBorders>
              <w:top w:val="single" w:sz="4" w:space="0" w:color="auto"/>
              <w:left w:val="nil"/>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489</w:t>
            </w:r>
          </w:p>
        </w:tc>
        <w:tc>
          <w:tcPr>
            <w:tcW w:w="993" w:type="dxa"/>
            <w:tcBorders>
              <w:top w:val="nil"/>
              <w:left w:val="single" w:sz="4" w:space="0" w:color="auto"/>
              <w:bottom w:val="single" w:sz="4" w:space="0" w:color="auto"/>
              <w:right w:val="single" w:sz="4" w:space="0" w:color="auto"/>
            </w:tcBorders>
          </w:tcPr>
          <w:p w:rsidR="00620222" w:rsidRPr="00CF7A89" w:rsidRDefault="00620222" w:rsidP="00620222">
            <w:pPr>
              <w:spacing w:line="276" w:lineRule="auto"/>
              <w:rPr>
                <w:rFonts w:ascii="Trebuchet MS" w:hAnsi="Trebuchet MS"/>
                <w:sz w:val="20"/>
                <w:szCs w:val="20"/>
              </w:rPr>
            </w:pPr>
            <w:r w:rsidRPr="00CF7A89">
              <w:rPr>
                <w:rFonts w:ascii="Trebuchet MS" w:hAnsi="Trebuchet MS"/>
                <w:sz w:val="20"/>
                <w:szCs w:val="20"/>
              </w:rPr>
              <w:t>388</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0,055</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67,355</w:t>
            </w:r>
          </w:p>
        </w:tc>
        <w:tc>
          <w:tcPr>
            <w:tcW w:w="1394"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36,452</w:t>
            </w:r>
          </w:p>
        </w:tc>
      </w:tr>
      <w:tr w:rsidR="00620222" w:rsidRPr="00CF7A89" w:rsidTr="00620222">
        <w:trPr>
          <w:trHeight w:val="273"/>
        </w:trPr>
        <w:tc>
          <w:tcPr>
            <w:tcW w:w="1630" w:type="dxa"/>
            <w:tcBorders>
              <w:top w:val="nil"/>
              <w:left w:val="single" w:sz="4" w:space="0" w:color="auto"/>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PUEBLO PALESTINO</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7.4</w:t>
            </w:r>
          </w:p>
        </w:tc>
        <w:tc>
          <w:tcPr>
            <w:tcW w:w="1417"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w:t>
            </w:r>
          </w:p>
        </w:tc>
        <w:tc>
          <w:tcPr>
            <w:tcW w:w="1134" w:type="dxa"/>
            <w:tcBorders>
              <w:top w:val="single" w:sz="4" w:space="0" w:color="auto"/>
              <w:left w:val="nil"/>
              <w:bottom w:val="single" w:sz="4" w:space="0" w:color="auto"/>
              <w:right w:val="single" w:sz="4" w:space="0" w:color="auto"/>
            </w:tcBorders>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w:t>
            </w:r>
          </w:p>
        </w:tc>
        <w:tc>
          <w:tcPr>
            <w:tcW w:w="993" w:type="dxa"/>
            <w:tcBorders>
              <w:top w:val="nil"/>
              <w:left w:val="single" w:sz="4" w:space="0" w:color="auto"/>
              <w:bottom w:val="single" w:sz="4" w:space="0" w:color="auto"/>
              <w:right w:val="single" w:sz="4" w:space="0" w:color="auto"/>
            </w:tcBorders>
          </w:tcPr>
          <w:p w:rsidR="00620222" w:rsidRPr="00CF7A89" w:rsidRDefault="00620222" w:rsidP="00620222">
            <w:pPr>
              <w:spacing w:line="276" w:lineRule="auto"/>
              <w:rPr>
                <w:rFonts w:ascii="Trebuchet MS" w:hAnsi="Trebuchet MS"/>
                <w:sz w:val="20"/>
                <w:szCs w:val="20"/>
              </w:rPr>
            </w:pPr>
          </w:p>
          <w:p w:rsidR="00620222" w:rsidRPr="00CF7A89" w:rsidRDefault="00620222" w:rsidP="00620222">
            <w:pPr>
              <w:spacing w:line="276" w:lineRule="auto"/>
              <w:rPr>
                <w:rFonts w:ascii="Trebuchet MS" w:hAnsi="Trebuchet MS"/>
                <w:sz w:val="20"/>
                <w:szCs w:val="20"/>
              </w:rPr>
            </w:pPr>
            <w:r w:rsidRPr="00CF7A89">
              <w:rPr>
                <w:rFonts w:ascii="Trebuchet MS" w:hAnsi="Trebuchet MS"/>
                <w:sz w:val="20"/>
                <w:szCs w:val="20"/>
              </w:rPr>
              <w:t>-</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w:t>
            </w:r>
          </w:p>
        </w:tc>
        <w:tc>
          <w:tcPr>
            <w:tcW w:w="1559"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99.4</w:t>
            </w:r>
          </w:p>
        </w:tc>
        <w:tc>
          <w:tcPr>
            <w:tcW w:w="1394" w:type="dxa"/>
            <w:tcBorders>
              <w:top w:val="nil"/>
              <w:left w:val="nil"/>
              <w:bottom w:val="single" w:sz="4" w:space="0" w:color="auto"/>
              <w:right w:val="single" w:sz="4" w:space="0" w:color="auto"/>
            </w:tcBorders>
            <w:shd w:val="clear" w:color="auto" w:fill="auto"/>
            <w:noWrap/>
            <w:vAlign w:val="bottom"/>
          </w:tcPr>
          <w:p w:rsidR="00620222" w:rsidRPr="00CF7A89" w:rsidRDefault="00620222" w:rsidP="00620222">
            <w:pPr>
              <w:spacing w:line="276" w:lineRule="auto"/>
              <w:jc w:val="both"/>
              <w:rPr>
                <w:rFonts w:ascii="Trebuchet MS" w:hAnsi="Trebuchet MS"/>
                <w:sz w:val="20"/>
                <w:szCs w:val="20"/>
              </w:rPr>
            </w:pPr>
            <w:r w:rsidRPr="00CF7A89">
              <w:rPr>
                <w:rFonts w:ascii="Trebuchet MS" w:hAnsi="Trebuchet MS"/>
                <w:sz w:val="20"/>
                <w:szCs w:val="20"/>
              </w:rPr>
              <w:t>99.3</w:t>
            </w:r>
          </w:p>
        </w:tc>
      </w:tr>
    </w:tbl>
    <w:p w:rsidR="00CF7A89" w:rsidRDefault="00CF7A89"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En relación al sector salud, el 25% de los desnutridos del mundo, viven en la India: 217 millones</w:t>
      </w:r>
      <w:r w:rsidRPr="00CF7A89">
        <w:rPr>
          <w:rFonts w:ascii="Trebuchet MS" w:hAnsi="Trebuchet MS"/>
          <w:sz w:val="20"/>
          <w:szCs w:val="20"/>
        </w:rPr>
        <w:footnoteReference w:id="19"/>
      </w:r>
      <w:r w:rsidRPr="00CF7A89">
        <w:rPr>
          <w:rFonts w:ascii="Trebuchet MS" w:hAnsi="Trebuchet MS"/>
          <w:sz w:val="20"/>
          <w:szCs w:val="20"/>
        </w:rPr>
        <w:t>. El 50 % de los niños en India tiene un retraso en el crecimiento, la gran mayoría debido a la mala alimentación. 61 millones de niños con desnutrición crónica, y 8 millones tienen desnutrición aguda grave</w:t>
      </w:r>
      <w:r w:rsidRPr="00CF7A89">
        <w:rPr>
          <w:rFonts w:ascii="Trebuchet MS" w:hAnsi="Trebuchet MS"/>
          <w:sz w:val="20"/>
          <w:szCs w:val="20"/>
        </w:rPr>
        <w:footnoteReference w:id="20"/>
      </w:r>
      <w:r w:rsidRPr="00CF7A89">
        <w:rPr>
          <w:rFonts w:ascii="Trebuchet MS" w:hAnsi="Trebuchet MS"/>
          <w:sz w:val="20"/>
          <w:szCs w:val="20"/>
        </w:rPr>
        <w:t xml:space="preserve">. La India tiene el indicador de desnutrición infantil más elevado con respecto a los diez países prioritarios de los planes anteriores. </w:t>
      </w:r>
    </w:p>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40.000 niños mueren por diarrea al año de los cuales 316 (de cada 100.000) mueren debido al agua insalubre situando la India casi en equivalencia a Mozambique donde se registraron 388 muertes infantiles debido a la misma causa. Hay 37,7 millones de indios que sufren enfermedades de origen hídrico, ya sea por mala calidad del agua, enfermedades que se trasmiten, o simplemente por falta de acceso a los recursos. De estos, la inmensa mayoría son rurales, tribales y mujeres</w:t>
      </w:r>
      <w:r w:rsidRPr="00CF7A89">
        <w:rPr>
          <w:rFonts w:ascii="Trebuchet MS" w:hAnsi="Trebuchet MS"/>
          <w:sz w:val="20"/>
          <w:szCs w:val="20"/>
        </w:rPr>
        <w:footnoteReference w:id="21"/>
      </w:r>
      <w:r w:rsidRPr="00CF7A89">
        <w:rPr>
          <w:rFonts w:ascii="Trebuchet MS" w:hAnsi="Trebuchet MS"/>
          <w:sz w:val="20"/>
          <w:szCs w:val="20"/>
        </w:rPr>
        <w:t>. El 50% de las mujeres en India tienen anemia debido a la mala alimentación</w:t>
      </w:r>
      <w:r w:rsidRPr="00CF7A89">
        <w:rPr>
          <w:rFonts w:ascii="Trebuchet MS" w:hAnsi="Trebuchet MS"/>
          <w:sz w:val="20"/>
          <w:szCs w:val="20"/>
        </w:rPr>
        <w:footnoteReference w:id="22"/>
      </w:r>
      <w:r w:rsidRPr="00CF7A89">
        <w:rPr>
          <w:rFonts w:ascii="Trebuchet MS" w:hAnsi="Trebuchet MS"/>
          <w:sz w:val="20"/>
          <w:szCs w:val="20"/>
        </w:rPr>
        <w:t>.</w:t>
      </w:r>
    </w:p>
    <w:p w:rsidR="004B450A" w:rsidRPr="00CF7A89"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t xml:space="preserve">En materia de educación, el promedio de años de escolaridad en India es de 5,4 años de estudios, le sigue Ruanda, Mozambique y Mali. Todos los demás están muy por encima (6, 7, 8 e incluso 9 años de promedio de escolaridad). Respecto a la tasa de alfabetización de las mujeres en India con el 65.46% de mujeres de 15 años o más escolarizadas se sitúa en el quinto país con menos porcentaje con respecto a los otros países prioritarios. La tasa de alfabetización de los hombres es más elevada que la tasa de las mujeres, aun así sitúa la India en el sexto país de la lista por detrás de El Salvador, Bolivia, Guatemala, RD Congo y Pueblo Palestino. </w:t>
      </w:r>
    </w:p>
    <w:p w:rsidR="004B450A" w:rsidRPr="00CF7A89" w:rsidRDefault="004B450A" w:rsidP="00CF7A89">
      <w:pPr>
        <w:spacing w:line="276" w:lineRule="auto"/>
        <w:jc w:val="both"/>
        <w:rPr>
          <w:rFonts w:ascii="Trebuchet MS" w:hAnsi="Trebuchet MS"/>
          <w:sz w:val="20"/>
          <w:szCs w:val="20"/>
        </w:rPr>
      </w:pPr>
    </w:p>
    <w:p w:rsidR="004B450A" w:rsidRPr="00CF7A89" w:rsidRDefault="004B450A" w:rsidP="00CF7A89">
      <w:pPr>
        <w:spacing w:line="276" w:lineRule="auto"/>
        <w:jc w:val="both"/>
        <w:rPr>
          <w:rFonts w:ascii="Trebuchet MS" w:hAnsi="Trebuchet MS"/>
          <w:sz w:val="20"/>
          <w:szCs w:val="20"/>
        </w:rPr>
      </w:pPr>
      <w:r w:rsidRPr="00CF7A89">
        <w:rPr>
          <w:rFonts w:ascii="Trebuchet MS" w:hAnsi="Trebuchet MS"/>
          <w:sz w:val="20"/>
          <w:szCs w:val="20"/>
        </w:rPr>
        <w:lastRenderedPageBreak/>
        <w:t>Respecto a otros indicadores del mismo informe del PNUD y del Banco Mundial, los resultados en relación a la esperanza de vida al nacer son los siguientes: en India es de 68 años por debajo de El Salvador, Bolivia, Nicaragua, Guatemala y Pueblo Palestino. Y la población en situación de pobreza extrema es de 21.2%, la sexta más alta, pero la primera en cifras absolutas.</w:t>
      </w:r>
    </w:p>
    <w:p w:rsidR="004B450A" w:rsidRPr="00CF7A89" w:rsidRDefault="004B450A" w:rsidP="00CF7A89">
      <w:pPr>
        <w:spacing w:line="276" w:lineRule="auto"/>
        <w:jc w:val="both"/>
        <w:rPr>
          <w:rFonts w:ascii="Trebuchet MS" w:hAnsi="Trebuchet MS"/>
          <w:sz w:val="20"/>
          <w:szCs w:val="20"/>
        </w:rPr>
      </w:pPr>
    </w:p>
    <w:sectPr w:rsidR="004B450A" w:rsidRPr="00CF7A8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F3A" w:rsidRDefault="00FA6F3A" w:rsidP="00182E7A">
      <w:r>
        <w:separator/>
      </w:r>
    </w:p>
  </w:endnote>
  <w:endnote w:type="continuationSeparator" w:id="0">
    <w:p w:rsidR="00FA6F3A" w:rsidRDefault="00FA6F3A" w:rsidP="0018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F3A" w:rsidRDefault="00FA6F3A" w:rsidP="00182E7A">
      <w:r>
        <w:separator/>
      </w:r>
    </w:p>
  </w:footnote>
  <w:footnote w:type="continuationSeparator" w:id="0">
    <w:p w:rsidR="00FA6F3A" w:rsidRDefault="00FA6F3A" w:rsidP="00182E7A">
      <w:r>
        <w:continuationSeparator/>
      </w:r>
    </w:p>
  </w:footnote>
  <w:footnote w:id="1">
    <w:p w:rsidR="00214FD3" w:rsidRPr="00FE736E" w:rsidRDefault="00214FD3" w:rsidP="00214FD3">
      <w:pPr>
        <w:pStyle w:val="Textonotapie"/>
      </w:pPr>
      <w:r>
        <w:rPr>
          <w:rStyle w:val="Refdenotaalpie"/>
        </w:rPr>
        <w:footnoteRef/>
      </w:r>
      <w:r w:rsidRPr="00B97199">
        <w:t xml:space="preserve"> </w:t>
      </w:r>
      <w:hyperlink r:id="rId1" w:history="1">
        <w:r w:rsidRPr="00B97199">
          <w:rPr>
            <w:rStyle w:val="Hipervnculo"/>
          </w:rPr>
          <w:t>http://europa.eu/about-eu/facts-figures/living/index_es.htm</w:t>
        </w:r>
      </w:hyperlink>
      <w:r w:rsidRPr="00B97199">
        <w:t xml:space="preserve"> </w:t>
      </w:r>
    </w:p>
  </w:footnote>
  <w:footnote w:id="2">
    <w:p w:rsidR="00765CE1" w:rsidRDefault="00765CE1" w:rsidP="00765CE1">
      <w:pPr>
        <w:pStyle w:val="Textonotapie"/>
      </w:pPr>
      <w:r>
        <w:rPr>
          <w:rStyle w:val="Refdenotaalpie"/>
        </w:rPr>
        <w:footnoteRef/>
      </w:r>
      <w:r>
        <w:t xml:space="preserve"> </w:t>
      </w:r>
      <w:hyperlink r:id="rId2" w:history="1">
        <w:r w:rsidRPr="006D58B0">
          <w:rPr>
            <w:rStyle w:val="Hipervnculo"/>
          </w:rPr>
          <w:t>https://www.oxfamindia.org/pressrelease/2093</w:t>
        </w:r>
      </w:hyperlink>
      <w:r>
        <w:t xml:space="preserve"> </w:t>
      </w:r>
    </w:p>
  </w:footnote>
  <w:footnote w:id="3">
    <w:p w:rsidR="00EC0714" w:rsidRDefault="00EC0714">
      <w:pPr>
        <w:pStyle w:val="Textonotapie"/>
      </w:pPr>
      <w:r>
        <w:rPr>
          <w:rStyle w:val="Refdenotaalpie"/>
        </w:rPr>
        <w:footnoteRef/>
      </w:r>
      <w:r>
        <w:t xml:space="preserve"> </w:t>
      </w:r>
      <w:hyperlink r:id="rId3" w:history="1">
        <w:r w:rsidRPr="006D58B0">
          <w:rPr>
            <w:rStyle w:val="Hipervnculo"/>
          </w:rPr>
          <w:t>http://hdr.undp.org/sites/default/files/HDR2016_SP_Overview_Web.pdf</w:t>
        </w:r>
      </w:hyperlink>
      <w:r>
        <w:t xml:space="preserve"> </w:t>
      </w:r>
    </w:p>
  </w:footnote>
  <w:footnote w:id="4">
    <w:p w:rsidR="00CC5E3C" w:rsidRPr="00FC1188" w:rsidRDefault="00CC5E3C" w:rsidP="00CC5E3C">
      <w:pPr>
        <w:pStyle w:val="Textonotapie"/>
      </w:pPr>
      <w:r>
        <w:rPr>
          <w:rStyle w:val="Refdenotaalpie"/>
        </w:rPr>
        <w:footnoteRef/>
      </w:r>
      <w:r w:rsidRPr="00FC1188">
        <w:t xml:space="preserve"> </w:t>
      </w:r>
      <w:hyperlink r:id="rId4" w:history="1">
        <w:r w:rsidRPr="00FC1188">
          <w:rPr>
            <w:rStyle w:val="Hipervnculo"/>
          </w:rPr>
          <w:t xml:space="preserve">Socio </w:t>
        </w:r>
        <w:proofErr w:type="spellStart"/>
        <w:r w:rsidRPr="00FC1188">
          <w:rPr>
            <w:rStyle w:val="Hipervnculo"/>
          </w:rPr>
          <w:t>Economic</w:t>
        </w:r>
        <w:proofErr w:type="spellEnd"/>
        <w:r w:rsidRPr="00FC1188">
          <w:rPr>
            <w:rStyle w:val="Hipervnculo"/>
          </w:rPr>
          <w:t xml:space="preserve"> and </w:t>
        </w:r>
        <w:proofErr w:type="spellStart"/>
        <w:r w:rsidRPr="00FC1188">
          <w:rPr>
            <w:rStyle w:val="Hipervnculo"/>
          </w:rPr>
          <w:t>Caste</w:t>
        </w:r>
        <w:proofErr w:type="spellEnd"/>
        <w:r w:rsidRPr="00FC1188">
          <w:rPr>
            <w:rStyle w:val="Hipervnculo"/>
          </w:rPr>
          <w:t xml:space="preserve"> </w:t>
        </w:r>
        <w:proofErr w:type="spellStart"/>
        <w:r w:rsidRPr="00FC1188">
          <w:rPr>
            <w:rStyle w:val="Hipervnculo"/>
          </w:rPr>
          <w:t>Census</w:t>
        </w:r>
        <w:proofErr w:type="spellEnd"/>
        <w:r w:rsidRPr="00FC1188">
          <w:rPr>
            <w:rStyle w:val="Hipervnculo"/>
          </w:rPr>
          <w:t xml:space="preserve"> 2011</w:t>
        </w:r>
      </w:hyperlink>
    </w:p>
  </w:footnote>
  <w:footnote w:id="5">
    <w:p w:rsidR="00C26460" w:rsidRDefault="00C26460">
      <w:pPr>
        <w:pStyle w:val="Textonotapie"/>
      </w:pPr>
    </w:p>
  </w:footnote>
  <w:footnote w:id="6">
    <w:p w:rsidR="00182E7A" w:rsidRDefault="00182E7A">
      <w:pPr>
        <w:pStyle w:val="Textonotapie"/>
      </w:pPr>
      <w:r>
        <w:rPr>
          <w:rStyle w:val="Refdenotaalpie"/>
        </w:rPr>
        <w:footnoteRef/>
      </w:r>
      <w:r>
        <w:t xml:space="preserve"> </w:t>
      </w:r>
      <w:hyperlink r:id="rId5" w:history="1">
        <w:r w:rsidRPr="00272B06">
          <w:rPr>
            <w:rStyle w:val="Hipervnculo"/>
          </w:rPr>
          <w:t>https://www.indianeconomy.net/splclassroom/what-is-multidimensional-poverty-index/</w:t>
        </w:r>
      </w:hyperlink>
      <w:r w:rsidR="005379AE">
        <w:rPr>
          <w:rStyle w:val="Hipervnculo"/>
        </w:rPr>
        <w:t xml:space="preserve"> </w:t>
      </w:r>
      <w:r>
        <w:t xml:space="preserve"> </w:t>
      </w:r>
    </w:p>
  </w:footnote>
  <w:footnote w:id="7">
    <w:p w:rsidR="005379AE" w:rsidRDefault="005379AE">
      <w:pPr>
        <w:pStyle w:val="Textonotapie"/>
      </w:pPr>
      <w:r>
        <w:rPr>
          <w:rStyle w:val="Refdenotaalpie"/>
        </w:rPr>
        <w:footnoteRef/>
      </w:r>
      <w:r>
        <w:t xml:space="preserve"> </w:t>
      </w:r>
      <w:hyperlink r:id="rId6" w:history="1">
        <w:r w:rsidRPr="007716B4">
          <w:rPr>
            <w:rStyle w:val="Hipervnculo"/>
          </w:rPr>
          <w:t>http://hdr.undp.org/sites/default/files/hdr_2016_report_spanish_web.pdf</w:t>
        </w:r>
      </w:hyperlink>
      <w:r>
        <w:t xml:space="preserve"> </w:t>
      </w:r>
    </w:p>
  </w:footnote>
  <w:footnote w:id="8">
    <w:p w:rsidR="006C026D" w:rsidRPr="006C026D" w:rsidRDefault="006C026D" w:rsidP="006C026D">
      <w:pPr>
        <w:pStyle w:val="Textonotapie"/>
      </w:pPr>
      <w:r>
        <w:rPr>
          <w:rStyle w:val="Refdenotaalpie"/>
        </w:rPr>
        <w:footnoteRef/>
      </w:r>
      <w:r w:rsidRPr="006C026D">
        <w:t xml:space="preserve"> </w:t>
      </w:r>
      <w:hyperlink r:id="rId7" w:history="1">
        <w:r w:rsidRPr="006C026D">
          <w:rPr>
            <w:rStyle w:val="Hipervnculo"/>
          </w:rPr>
          <w:t>http://www.fao.org/3/a-I7695s.pdf</w:t>
        </w:r>
      </w:hyperlink>
      <w:r w:rsidRPr="006C026D">
        <w:t xml:space="preserve"> </w:t>
      </w:r>
    </w:p>
  </w:footnote>
  <w:footnote w:id="9">
    <w:p w:rsidR="006C026D" w:rsidRPr="00AA49D7" w:rsidRDefault="006C026D" w:rsidP="006C026D">
      <w:pPr>
        <w:pStyle w:val="Textonotapie"/>
        <w:rPr>
          <w:lang w:val="en-IN"/>
        </w:rPr>
      </w:pPr>
      <w:r>
        <w:rPr>
          <w:rStyle w:val="Refdenotaalpie"/>
        </w:rPr>
        <w:footnoteRef/>
      </w:r>
      <w:r w:rsidRPr="00AA49D7">
        <w:rPr>
          <w:lang w:val="en-IN"/>
        </w:rPr>
        <w:t xml:space="preserve"> </w:t>
      </w:r>
      <w:hyperlink r:id="rId8" w:history="1">
        <w:r w:rsidRPr="00AA49D7">
          <w:rPr>
            <w:rStyle w:val="Hipervnculo"/>
            <w:lang w:val="en-IN"/>
          </w:rPr>
          <w:t>United States Census Bureau, International Database (2015)</w:t>
        </w:r>
      </w:hyperlink>
    </w:p>
  </w:footnote>
  <w:footnote w:id="10">
    <w:p w:rsidR="006C026D" w:rsidRPr="00AA49D7" w:rsidRDefault="006C026D" w:rsidP="006C026D">
      <w:pPr>
        <w:pStyle w:val="Textonotapie"/>
        <w:rPr>
          <w:lang w:val="en-IN"/>
        </w:rPr>
      </w:pPr>
      <w:r>
        <w:rPr>
          <w:rStyle w:val="Refdenotaalpie"/>
        </w:rPr>
        <w:footnoteRef/>
      </w:r>
      <w:r w:rsidRPr="00AA49D7">
        <w:rPr>
          <w:lang w:val="en-IN"/>
        </w:rPr>
        <w:t xml:space="preserve"> </w:t>
      </w:r>
      <w:hyperlink r:id="rId9" w:history="1">
        <w:r w:rsidRPr="00AA49D7">
          <w:rPr>
            <w:rStyle w:val="Hipervnculo"/>
            <w:lang w:val="en-IN"/>
          </w:rPr>
          <w:t>http://www.bancomundial.org/es/news/feature/2013/05/13/helping-india-combat-persistently-high-rates-of-malnutrition</w:t>
        </w:r>
      </w:hyperlink>
      <w:r w:rsidRPr="00AA49D7">
        <w:rPr>
          <w:lang w:val="en-IN"/>
        </w:rPr>
        <w:t xml:space="preserve"> </w:t>
      </w:r>
    </w:p>
  </w:footnote>
  <w:footnote w:id="11">
    <w:p w:rsidR="006C026D" w:rsidRPr="00AA49D7" w:rsidRDefault="006C026D" w:rsidP="006C026D">
      <w:pPr>
        <w:pStyle w:val="Textonotapie"/>
        <w:rPr>
          <w:lang w:val="en-IN"/>
        </w:rPr>
      </w:pPr>
      <w:r>
        <w:rPr>
          <w:rStyle w:val="Refdenotaalpie"/>
        </w:rPr>
        <w:footnoteRef/>
      </w:r>
      <w:r w:rsidRPr="00AA49D7">
        <w:rPr>
          <w:lang w:val="en-IN"/>
        </w:rPr>
        <w:t xml:space="preserve"> </w:t>
      </w:r>
      <w:hyperlink r:id="rId10" w:history="1">
        <w:r w:rsidRPr="00AA49D7">
          <w:rPr>
            <w:rStyle w:val="Hipervnculo"/>
            <w:lang w:val="en-IN"/>
          </w:rPr>
          <w:t>http://www.fao.org/3/a-I7695s.pdf</w:t>
        </w:r>
      </w:hyperlink>
      <w:r>
        <w:rPr>
          <w:lang w:val="en-IN"/>
        </w:rPr>
        <w:t xml:space="preserve"> </w:t>
      </w:r>
    </w:p>
  </w:footnote>
  <w:footnote w:id="12">
    <w:p w:rsidR="005379AE" w:rsidRPr="00AA49D7" w:rsidRDefault="005379AE" w:rsidP="005379AE">
      <w:pPr>
        <w:pStyle w:val="Textonotapie"/>
        <w:rPr>
          <w:lang w:val="en-IN"/>
        </w:rPr>
      </w:pPr>
      <w:r>
        <w:rPr>
          <w:rStyle w:val="Refdenotaalpie"/>
        </w:rPr>
        <w:footnoteRef/>
      </w:r>
      <w:r w:rsidRPr="00AA49D7">
        <w:rPr>
          <w:lang w:val="en-IN"/>
        </w:rPr>
        <w:t xml:space="preserve">  </w:t>
      </w:r>
      <w:hyperlink r:id="rId11" w:history="1">
        <w:r w:rsidRPr="00AA49D7">
          <w:rPr>
            <w:rStyle w:val="Hipervnculo"/>
            <w:lang w:val="en-IN"/>
          </w:rPr>
          <w:t>MOSPI, Government of India (2015)</w:t>
        </w:r>
      </w:hyperlink>
    </w:p>
  </w:footnote>
  <w:footnote w:id="13">
    <w:p w:rsidR="008D16CA" w:rsidRPr="00AA49D7" w:rsidRDefault="008D16CA" w:rsidP="008D16CA">
      <w:pPr>
        <w:pStyle w:val="Textonotapie"/>
        <w:rPr>
          <w:lang w:val="en-IN"/>
        </w:rPr>
      </w:pPr>
      <w:r>
        <w:rPr>
          <w:rStyle w:val="Refdenotaalpie"/>
        </w:rPr>
        <w:footnoteRef/>
      </w:r>
      <w:r w:rsidRPr="00AA49D7">
        <w:rPr>
          <w:lang w:val="en-IN"/>
        </w:rPr>
        <w:t xml:space="preserve"> </w:t>
      </w:r>
      <w:hyperlink r:id="rId12" w:history="1">
        <w:r w:rsidRPr="00AA49D7">
          <w:rPr>
            <w:rStyle w:val="Hipervnculo"/>
            <w:lang w:val="en-IN"/>
          </w:rPr>
          <w:t>http://www.nmew.gov.in/showfile.php?lid=295</w:t>
        </w:r>
      </w:hyperlink>
      <w:r w:rsidRPr="00AA49D7">
        <w:rPr>
          <w:lang w:val="en-IN"/>
        </w:rPr>
        <w:t xml:space="preserve"> </w:t>
      </w:r>
    </w:p>
  </w:footnote>
  <w:footnote w:id="14">
    <w:p w:rsidR="003B2E15" w:rsidRPr="00921FD1" w:rsidRDefault="003B2E15" w:rsidP="003B2E15">
      <w:pPr>
        <w:pStyle w:val="Textonotapie"/>
      </w:pPr>
      <w:r>
        <w:rPr>
          <w:rStyle w:val="Refdenotaalpie"/>
        </w:rPr>
        <w:footnoteRef/>
      </w:r>
      <w:r w:rsidRPr="00921FD1">
        <w:t xml:space="preserve"> </w:t>
      </w:r>
      <w:hyperlink r:id="rId13" w:history="1">
        <w:r w:rsidRPr="00921FD1">
          <w:rPr>
            <w:rStyle w:val="Hipervnculo"/>
          </w:rPr>
          <w:t>http://data.worldbank.org/indicator/SE.XPD.TOTL.GD.ZS/countries/1W-IN?display=graph</w:t>
        </w:r>
      </w:hyperlink>
      <w:r w:rsidRPr="00921FD1">
        <w:t xml:space="preserve"> y </w:t>
      </w:r>
      <w:hyperlink r:id="rId14" w:history="1">
        <w:r w:rsidRPr="00E12B62">
          <w:rPr>
            <w:rStyle w:val="Hipervnculo"/>
          </w:rPr>
          <w:t>http://www.indiaspend.com/budget-2015-modis-moment-of-reckoning/jaitley-slashes-education-health-spending-67467</w:t>
        </w:r>
      </w:hyperlink>
      <w:r>
        <w:t xml:space="preserve"> </w:t>
      </w:r>
    </w:p>
  </w:footnote>
  <w:footnote w:id="15">
    <w:p w:rsidR="008D16CA" w:rsidRPr="00921FD1" w:rsidRDefault="008D16CA" w:rsidP="008D16CA">
      <w:pPr>
        <w:pStyle w:val="Textonotapie"/>
      </w:pPr>
      <w:r>
        <w:rPr>
          <w:rStyle w:val="Refdenotaalpie"/>
        </w:rPr>
        <w:footnoteRef/>
      </w:r>
      <w:r w:rsidRPr="00B97199">
        <w:t xml:space="preserve"> </w:t>
      </w:r>
      <w:hyperlink r:id="rId15" w:history="1">
        <w:r w:rsidRPr="00B97199">
          <w:rPr>
            <w:rStyle w:val="Hipervnculo"/>
          </w:rPr>
          <w:t>http://righttoeducation.in/</w:t>
        </w:r>
      </w:hyperlink>
      <w:r w:rsidRPr="00B97199">
        <w:t xml:space="preserve"> </w:t>
      </w:r>
    </w:p>
  </w:footnote>
  <w:footnote w:id="16">
    <w:p w:rsidR="003B2E15" w:rsidRPr="00921FD1" w:rsidRDefault="003B2E15" w:rsidP="003B2E15">
      <w:pPr>
        <w:pStyle w:val="Textonotapie"/>
      </w:pPr>
      <w:r>
        <w:rPr>
          <w:rStyle w:val="Refdenotaalpie"/>
        </w:rPr>
        <w:footnoteRef/>
      </w:r>
      <w:r w:rsidRPr="00921FD1">
        <w:t xml:space="preserve"> </w:t>
      </w:r>
      <w:hyperlink r:id="rId16" w:history="1">
        <w:r w:rsidRPr="00921FD1">
          <w:rPr>
            <w:rStyle w:val="Hipervnculo"/>
          </w:rPr>
          <w:t>http://tbinternet.ohchr.org/_layouts/treatybodyexternal/Download.aspx?symbolno=CEDAW/C/IND/CO/4-5&amp;Lang=Sp</w:t>
        </w:r>
      </w:hyperlink>
      <w:r w:rsidRPr="00921FD1">
        <w:t xml:space="preserve"> </w:t>
      </w:r>
    </w:p>
  </w:footnote>
  <w:footnote w:id="17">
    <w:p w:rsidR="003B2E15" w:rsidRPr="003B2E15" w:rsidRDefault="003B2E15" w:rsidP="003B2E15">
      <w:pPr>
        <w:pStyle w:val="Textonotapie"/>
      </w:pPr>
      <w:r>
        <w:rPr>
          <w:rStyle w:val="Refdenotaalpie"/>
        </w:rPr>
        <w:footnoteRef/>
      </w:r>
      <w:r w:rsidRPr="00DB372B">
        <w:t xml:space="preserve"> </w:t>
      </w:r>
      <w:hyperlink r:id="rId17" w:history="1">
        <w:r w:rsidRPr="00AA49D7">
          <w:rPr>
            <w:rStyle w:val="Hipervnculo"/>
          </w:rPr>
          <w:t>http://reports.weforum.org/global-gender-gap-report-2016/</w:t>
        </w:r>
      </w:hyperlink>
      <w:r>
        <w:t xml:space="preserve"> </w:t>
      </w:r>
    </w:p>
  </w:footnote>
  <w:footnote w:id="18">
    <w:p w:rsidR="004B450A" w:rsidRPr="00DF1D39" w:rsidRDefault="004B450A" w:rsidP="004B450A">
      <w:pPr>
        <w:pStyle w:val="Textonotapie"/>
        <w:rPr>
          <w:lang w:val="en-IN"/>
        </w:rPr>
      </w:pPr>
      <w:r>
        <w:rPr>
          <w:rStyle w:val="Refdenotaalpie"/>
        </w:rPr>
        <w:footnoteRef/>
      </w:r>
      <w:r w:rsidRPr="00DF1D39">
        <w:rPr>
          <w:lang w:val="en-IN"/>
        </w:rPr>
        <w:t xml:space="preserve"> </w:t>
      </w:r>
      <w:r w:rsidRPr="00DF1D39">
        <w:rPr>
          <w:i/>
          <w:iCs/>
          <w:lang w:val="en-IN"/>
        </w:rPr>
        <w:t>Water and Sanitation Program (2008). Benchmarking urban water utilities in India.</w:t>
      </w:r>
    </w:p>
  </w:footnote>
  <w:footnote w:id="19">
    <w:p w:rsidR="004B450A" w:rsidRPr="00DF1D39" w:rsidRDefault="004B450A" w:rsidP="004B450A">
      <w:pPr>
        <w:pStyle w:val="Textonotapie"/>
        <w:rPr>
          <w:lang w:val="en-IN"/>
        </w:rPr>
      </w:pPr>
      <w:r>
        <w:rPr>
          <w:rStyle w:val="Refdenotaalpie"/>
        </w:rPr>
        <w:footnoteRef/>
      </w:r>
      <w:r w:rsidRPr="00DF1D39">
        <w:rPr>
          <w:lang w:val="en-IN"/>
        </w:rPr>
        <w:t xml:space="preserve"> FAO</w:t>
      </w:r>
    </w:p>
  </w:footnote>
  <w:footnote w:id="20">
    <w:p w:rsidR="004B450A" w:rsidRPr="00DF1D39" w:rsidRDefault="004B450A" w:rsidP="004B450A">
      <w:pPr>
        <w:pStyle w:val="Textonotapie"/>
        <w:rPr>
          <w:lang w:val="en-IN"/>
        </w:rPr>
      </w:pPr>
      <w:r>
        <w:rPr>
          <w:rStyle w:val="Refdenotaalpie"/>
        </w:rPr>
        <w:footnoteRef/>
      </w:r>
      <w:r w:rsidRPr="00DF1D39">
        <w:rPr>
          <w:lang w:val="en-IN"/>
        </w:rPr>
        <w:t xml:space="preserve"> WHO</w:t>
      </w:r>
    </w:p>
  </w:footnote>
  <w:footnote w:id="21">
    <w:p w:rsidR="004B450A" w:rsidRPr="00DF1D39" w:rsidRDefault="004B450A" w:rsidP="004B450A">
      <w:pPr>
        <w:pStyle w:val="Textonotapie"/>
        <w:rPr>
          <w:lang w:val="en-IN"/>
        </w:rPr>
      </w:pPr>
      <w:r>
        <w:rPr>
          <w:rStyle w:val="Refdenotaalpie"/>
        </w:rPr>
        <w:footnoteRef/>
      </w:r>
      <w:r w:rsidRPr="00DF1D39">
        <w:rPr>
          <w:lang w:val="en-IN"/>
        </w:rPr>
        <w:t xml:space="preserve"> WHO</w:t>
      </w:r>
    </w:p>
  </w:footnote>
  <w:footnote w:id="22">
    <w:p w:rsidR="004B450A" w:rsidRPr="004B450A" w:rsidRDefault="004B450A" w:rsidP="004B450A">
      <w:pPr>
        <w:pStyle w:val="Textonotapie"/>
        <w:rPr>
          <w:lang w:val="en-IN"/>
        </w:rPr>
      </w:pPr>
      <w:r>
        <w:rPr>
          <w:rStyle w:val="Refdenotaalpie"/>
        </w:rPr>
        <w:footnoteRef/>
      </w:r>
      <w:r w:rsidRPr="004B450A">
        <w:rPr>
          <w:lang w:val="en-IN"/>
        </w:rPr>
        <w:t xml:space="preserve"> </w:t>
      </w:r>
      <w:proofErr w:type="spellStart"/>
      <w:r w:rsidRPr="004B450A">
        <w:rPr>
          <w:i/>
          <w:iCs/>
          <w:lang w:val="en-IN"/>
        </w:rPr>
        <w:t>Artículo</w:t>
      </w:r>
      <w:proofErr w:type="spellEnd"/>
      <w:r w:rsidRPr="004B450A">
        <w:rPr>
          <w:i/>
          <w:iCs/>
          <w:lang w:val="en-IN"/>
        </w:rPr>
        <w:t xml:space="preserve"> Amartya Sen </w:t>
      </w:r>
      <w:proofErr w:type="spellStart"/>
      <w:r w:rsidRPr="004B450A">
        <w:rPr>
          <w:i/>
          <w:iCs/>
          <w:lang w:val="en-IN"/>
        </w:rPr>
        <w:t>en</w:t>
      </w:r>
      <w:proofErr w:type="spellEnd"/>
      <w:r w:rsidRPr="004B450A">
        <w:rPr>
          <w:i/>
          <w:iCs/>
          <w:lang w:val="en-IN"/>
        </w:rPr>
        <w:t xml:space="preserve"> The Guardian.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6A26"/>
    <w:multiLevelType w:val="hybridMultilevel"/>
    <w:tmpl w:val="C34CE0D6"/>
    <w:lvl w:ilvl="0" w:tplc="71E84866">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8C2E51"/>
    <w:multiLevelType w:val="hybridMultilevel"/>
    <w:tmpl w:val="3F8E777C"/>
    <w:lvl w:ilvl="0" w:tplc="5E9AD4E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A555C4F"/>
    <w:multiLevelType w:val="hybridMultilevel"/>
    <w:tmpl w:val="3C26EAF6"/>
    <w:lvl w:ilvl="0" w:tplc="54D6F37A">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D5F230A"/>
    <w:multiLevelType w:val="hybridMultilevel"/>
    <w:tmpl w:val="07602C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63F2539"/>
    <w:multiLevelType w:val="hybridMultilevel"/>
    <w:tmpl w:val="07602C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0E"/>
    <w:rsid w:val="00017B8D"/>
    <w:rsid w:val="000401A0"/>
    <w:rsid w:val="00075C0E"/>
    <w:rsid w:val="000C637C"/>
    <w:rsid w:val="000D2AE3"/>
    <w:rsid w:val="000E7F5F"/>
    <w:rsid w:val="0012734E"/>
    <w:rsid w:val="00180541"/>
    <w:rsid w:val="00182E7A"/>
    <w:rsid w:val="00185AD0"/>
    <w:rsid w:val="00194A58"/>
    <w:rsid w:val="001A1E7C"/>
    <w:rsid w:val="001F0EB8"/>
    <w:rsid w:val="002027B9"/>
    <w:rsid w:val="00214FD3"/>
    <w:rsid w:val="00246D9A"/>
    <w:rsid w:val="00283585"/>
    <w:rsid w:val="002A0700"/>
    <w:rsid w:val="002B43C2"/>
    <w:rsid w:val="002F5156"/>
    <w:rsid w:val="00314751"/>
    <w:rsid w:val="00325A49"/>
    <w:rsid w:val="00355C1D"/>
    <w:rsid w:val="003810D6"/>
    <w:rsid w:val="003852C9"/>
    <w:rsid w:val="003B2E15"/>
    <w:rsid w:val="003F3C35"/>
    <w:rsid w:val="004460C5"/>
    <w:rsid w:val="00484480"/>
    <w:rsid w:val="004A2B3E"/>
    <w:rsid w:val="004B19C3"/>
    <w:rsid w:val="004B450A"/>
    <w:rsid w:val="00510DBA"/>
    <w:rsid w:val="0052082D"/>
    <w:rsid w:val="005379AE"/>
    <w:rsid w:val="00551BE5"/>
    <w:rsid w:val="00560991"/>
    <w:rsid w:val="00604210"/>
    <w:rsid w:val="00620222"/>
    <w:rsid w:val="0062404F"/>
    <w:rsid w:val="00627FE9"/>
    <w:rsid w:val="00676BBA"/>
    <w:rsid w:val="006C026D"/>
    <w:rsid w:val="006C4135"/>
    <w:rsid w:val="00734C42"/>
    <w:rsid w:val="00754C56"/>
    <w:rsid w:val="00765CE1"/>
    <w:rsid w:val="007E3156"/>
    <w:rsid w:val="0081722D"/>
    <w:rsid w:val="00836307"/>
    <w:rsid w:val="0087392B"/>
    <w:rsid w:val="0089489B"/>
    <w:rsid w:val="008D16CA"/>
    <w:rsid w:val="00900BD9"/>
    <w:rsid w:val="00917B39"/>
    <w:rsid w:val="00960CA4"/>
    <w:rsid w:val="0097169A"/>
    <w:rsid w:val="00A12607"/>
    <w:rsid w:val="00A64684"/>
    <w:rsid w:val="00A8293B"/>
    <w:rsid w:val="00AA4342"/>
    <w:rsid w:val="00AA49D7"/>
    <w:rsid w:val="00AD58A4"/>
    <w:rsid w:val="00AE07A7"/>
    <w:rsid w:val="00AE1F8D"/>
    <w:rsid w:val="00B33578"/>
    <w:rsid w:val="00B911E7"/>
    <w:rsid w:val="00B95219"/>
    <w:rsid w:val="00BB1CB5"/>
    <w:rsid w:val="00BD41F4"/>
    <w:rsid w:val="00BF7C9A"/>
    <w:rsid w:val="00C26460"/>
    <w:rsid w:val="00C44114"/>
    <w:rsid w:val="00C538D3"/>
    <w:rsid w:val="00C7390B"/>
    <w:rsid w:val="00C91520"/>
    <w:rsid w:val="00CB6AEA"/>
    <w:rsid w:val="00CC5E3C"/>
    <w:rsid w:val="00CF7A89"/>
    <w:rsid w:val="00D51678"/>
    <w:rsid w:val="00DB7F29"/>
    <w:rsid w:val="00E51EC0"/>
    <w:rsid w:val="00E67341"/>
    <w:rsid w:val="00EA6A7D"/>
    <w:rsid w:val="00EC0714"/>
    <w:rsid w:val="00EE72D0"/>
    <w:rsid w:val="00F10727"/>
    <w:rsid w:val="00F136E6"/>
    <w:rsid w:val="00F7627B"/>
    <w:rsid w:val="00F800FF"/>
    <w:rsid w:val="00FA6F3A"/>
    <w:rsid w:val="00FD1892"/>
    <w:rsid w:val="00FD589B"/>
    <w:rsid w:val="00FD5F2B"/>
    <w:rsid w:val="00FF14A9"/>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17DAEFB-EC69-454C-9A8D-B45BEC42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C0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182E7A"/>
    <w:rPr>
      <w:sz w:val="20"/>
      <w:szCs w:val="20"/>
    </w:rPr>
  </w:style>
  <w:style w:type="character" w:customStyle="1" w:styleId="TextonotapieCar">
    <w:name w:val="Texto nota pie Car"/>
    <w:basedOn w:val="Fuentedeprrafopredeter"/>
    <w:link w:val="Textonotapie"/>
    <w:rsid w:val="00182E7A"/>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182E7A"/>
    <w:rPr>
      <w:vertAlign w:val="superscript"/>
    </w:rPr>
  </w:style>
  <w:style w:type="character" w:styleId="Hipervnculo">
    <w:name w:val="Hyperlink"/>
    <w:basedOn w:val="Fuentedeprrafopredeter"/>
    <w:uiPriority w:val="99"/>
    <w:unhideWhenUsed/>
    <w:rsid w:val="00182E7A"/>
    <w:rPr>
      <w:color w:val="0563C1" w:themeColor="hyperlink"/>
      <w:u w:val="single"/>
    </w:rPr>
  </w:style>
  <w:style w:type="paragraph" w:styleId="Prrafodelista">
    <w:name w:val="List Paragraph"/>
    <w:basedOn w:val="Normal"/>
    <w:uiPriority w:val="34"/>
    <w:qFormat/>
    <w:rsid w:val="00185AD0"/>
    <w:pPr>
      <w:ind w:left="720"/>
      <w:contextualSpacing/>
    </w:pPr>
  </w:style>
  <w:style w:type="paragraph" w:styleId="Textodeglobo">
    <w:name w:val="Balloon Text"/>
    <w:basedOn w:val="Normal"/>
    <w:link w:val="TextodegloboCar"/>
    <w:uiPriority w:val="99"/>
    <w:semiHidden/>
    <w:unhideWhenUsed/>
    <w:rsid w:val="00AA43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342"/>
    <w:rPr>
      <w:rFonts w:ascii="Segoe UI" w:eastAsia="Times New Roman" w:hAnsi="Segoe UI" w:cs="Segoe UI"/>
      <w:sz w:val="18"/>
      <w:szCs w:val="18"/>
      <w:lang w:eastAsia="es-ES"/>
    </w:rPr>
  </w:style>
  <w:style w:type="paragraph" w:styleId="NormalWeb">
    <w:name w:val="Normal (Web)"/>
    <w:basedOn w:val="Normal"/>
    <w:uiPriority w:val="99"/>
    <w:unhideWhenUsed/>
    <w:rsid w:val="00917B39"/>
    <w:pPr>
      <w:spacing w:before="100" w:beforeAutospacing="1" w:after="100" w:afterAutospacing="1"/>
    </w:pPr>
  </w:style>
  <w:style w:type="character" w:styleId="Textoennegrita">
    <w:name w:val="Strong"/>
    <w:basedOn w:val="Fuentedeprrafopredeter"/>
    <w:uiPriority w:val="22"/>
    <w:qFormat/>
    <w:rsid w:val="00734C42"/>
    <w:rPr>
      <w:b/>
      <w:bCs/>
    </w:rPr>
  </w:style>
  <w:style w:type="paragraph" w:styleId="Revisin">
    <w:name w:val="Revision"/>
    <w:hidden/>
    <w:uiPriority w:val="99"/>
    <w:semiHidden/>
    <w:rsid w:val="00F10727"/>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26460"/>
    <w:pPr>
      <w:tabs>
        <w:tab w:val="center" w:pos="4252"/>
        <w:tab w:val="right" w:pos="8504"/>
      </w:tabs>
    </w:pPr>
  </w:style>
  <w:style w:type="character" w:customStyle="1" w:styleId="EncabezadoCar">
    <w:name w:val="Encabezado Car"/>
    <w:basedOn w:val="Fuentedeprrafopredeter"/>
    <w:link w:val="Encabezado"/>
    <w:uiPriority w:val="99"/>
    <w:rsid w:val="00C2646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26460"/>
    <w:pPr>
      <w:tabs>
        <w:tab w:val="center" w:pos="4252"/>
        <w:tab w:val="right" w:pos="8504"/>
      </w:tabs>
    </w:pPr>
  </w:style>
  <w:style w:type="character" w:customStyle="1" w:styleId="PiedepginaCar">
    <w:name w:val="Pie de página Car"/>
    <w:basedOn w:val="Fuentedeprrafopredeter"/>
    <w:link w:val="Piedepgina"/>
    <w:uiPriority w:val="99"/>
    <w:rsid w:val="00C26460"/>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C26460"/>
    <w:rPr>
      <w:color w:val="954F72" w:themeColor="followedHyperlink"/>
      <w:u w:val="single"/>
    </w:rPr>
  </w:style>
  <w:style w:type="paragraph" w:styleId="Textonotaalfinal">
    <w:name w:val="endnote text"/>
    <w:basedOn w:val="Normal"/>
    <w:link w:val="TextonotaalfinalCar"/>
    <w:uiPriority w:val="99"/>
    <w:semiHidden/>
    <w:unhideWhenUsed/>
    <w:rsid w:val="008D16CA"/>
    <w:rPr>
      <w:sz w:val="20"/>
      <w:szCs w:val="20"/>
    </w:rPr>
  </w:style>
  <w:style w:type="character" w:customStyle="1" w:styleId="TextonotaalfinalCar">
    <w:name w:val="Texto nota al final Car"/>
    <w:basedOn w:val="Fuentedeprrafopredeter"/>
    <w:link w:val="Textonotaalfinal"/>
    <w:uiPriority w:val="99"/>
    <w:semiHidden/>
    <w:rsid w:val="008D16CA"/>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D1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41969">
      <w:bodyDiv w:val="1"/>
      <w:marLeft w:val="0"/>
      <w:marRight w:val="0"/>
      <w:marTop w:val="0"/>
      <w:marBottom w:val="0"/>
      <w:divBdr>
        <w:top w:val="none" w:sz="0" w:space="0" w:color="auto"/>
        <w:left w:val="none" w:sz="0" w:space="0" w:color="auto"/>
        <w:bottom w:val="none" w:sz="0" w:space="0" w:color="auto"/>
        <w:right w:val="none" w:sz="0" w:space="0" w:color="auto"/>
      </w:divBdr>
    </w:div>
    <w:div w:id="597757832">
      <w:bodyDiv w:val="1"/>
      <w:marLeft w:val="0"/>
      <w:marRight w:val="0"/>
      <w:marTop w:val="0"/>
      <w:marBottom w:val="0"/>
      <w:divBdr>
        <w:top w:val="none" w:sz="0" w:space="0" w:color="auto"/>
        <w:left w:val="none" w:sz="0" w:space="0" w:color="auto"/>
        <w:bottom w:val="none" w:sz="0" w:space="0" w:color="auto"/>
        <w:right w:val="none" w:sz="0" w:space="0" w:color="auto"/>
      </w:divBdr>
    </w:div>
    <w:div w:id="1660386445">
      <w:bodyDiv w:val="1"/>
      <w:marLeft w:val="0"/>
      <w:marRight w:val="0"/>
      <w:marTop w:val="0"/>
      <w:marBottom w:val="0"/>
      <w:divBdr>
        <w:top w:val="none" w:sz="0" w:space="0" w:color="auto"/>
        <w:left w:val="none" w:sz="0" w:space="0" w:color="auto"/>
        <w:bottom w:val="none" w:sz="0" w:space="0" w:color="auto"/>
        <w:right w:val="none" w:sz="0" w:space="0" w:color="auto"/>
      </w:divBdr>
    </w:div>
    <w:div w:id="2068145533">
      <w:bodyDiv w:val="1"/>
      <w:marLeft w:val="0"/>
      <w:marRight w:val="0"/>
      <w:marTop w:val="0"/>
      <w:marBottom w:val="0"/>
      <w:divBdr>
        <w:top w:val="none" w:sz="0" w:space="0" w:color="auto"/>
        <w:left w:val="none" w:sz="0" w:space="0" w:color="auto"/>
        <w:bottom w:val="none" w:sz="0" w:space="0" w:color="auto"/>
        <w:right w:val="none" w:sz="0" w:space="0" w:color="auto"/>
      </w:divBdr>
    </w:div>
    <w:div w:id="21325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ensus.gov/population/international/data/idb/region.php?N=%20Results%20&amp;T=13&amp;A=separate&amp;RT=0&amp;Y=2015&amp;R=-1&amp;C=IN" TargetMode="External"/><Relationship Id="rId13" Type="http://schemas.openxmlformats.org/officeDocument/2006/relationships/hyperlink" Target="http://data.worldbank.org/indicator/SE.XPD.TOTL.GD.ZS/countries/1W-IN?display=graph" TargetMode="External"/><Relationship Id="rId3" Type="http://schemas.openxmlformats.org/officeDocument/2006/relationships/hyperlink" Target="http://hdr.undp.org/sites/default/files/HDR2016_SP_Overview_Web.pdf" TargetMode="External"/><Relationship Id="rId7" Type="http://schemas.openxmlformats.org/officeDocument/2006/relationships/hyperlink" Target="http://www.fao.org/3/a-I7695s.pdf" TargetMode="External"/><Relationship Id="rId12" Type="http://schemas.openxmlformats.org/officeDocument/2006/relationships/hyperlink" Target="http://www.nmew.gov.in/showfile.php?lid=295" TargetMode="External"/><Relationship Id="rId17" Type="http://schemas.openxmlformats.org/officeDocument/2006/relationships/hyperlink" Target="http://reports.weforum.org/global-gender-gap-report-2016/" TargetMode="External"/><Relationship Id="rId2" Type="http://schemas.openxmlformats.org/officeDocument/2006/relationships/hyperlink" Target="https://www.oxfamindia.org/pressrelease/2093" TargetMode="External"/><Relationship Id="rId16" Type="http://schemas.openxmlformats.org/officeDocument/2006/relationships/hyperlink" Target="http://tbinternet.ohchr.org/_layouts/treatybodyexternal/Download.aspx?symbolno=CEDAW/C/IND/CO/4-5&amp;Lang=Sp" TargetMode="External"/><Relationship Id="rId1" Type="http://schemas.openxmlformats.org/officeDocument/2006/relationships/hyperlink" Target="http://europa.eu/about-eu/facts-figures/living/index_es.htm" TargetMode="External"/><Relationship Id="rId6" Type="http://schemas.openxmlformats.org/officeDocument/2006/relationships/hyperlink" Target="http://hdr.undp.org/sites/default/files/hdr_2016_report_spanish_web.pdf" TargetMode="External"/><Relationship Id="rId11" Type="http://schemas.openxmlformats.org/officeDocument/2006/relationships/hyperlink" Target="http://mospi.nic.in/Mospi_New/upload/nss_pr_health_30june15.pdf" TargetMode="External"/><Relationship Id="rId5" Type="http://schemas.openxmlformats.org/officeDocument/2006/relationships/hyperlink" Target="https://www.indianeconomy.net/splclassroom/what-is-multidimensional-poverty-index/" TargetMode="External"/><Relationship Id="rId15" Type="http://schemas.openxmlformats.org/officeDocument/2006/relationships/hyperlink" Target="http://righttoeducation.in/" TargetMode="External"/><Relationship Id="rId10" Type="http://schemas.openxmlformats.org/officeDocument/2006/relationships/hyperlink" Target="http://www.fao.org/3/a-I7695s.pdf" TargetMode="External"/><Relationship Id="rId4" Type="http://schemas.openxmlformats.org/officeDocument/2006/relationships/hyperlink" Target="http://www.secc.gov.in/staticReport" TargetMode="External"/><Relationship Id="rId9" Type="http://schemas.openxmlformats.org/officeDocument/2006/relationships/hyperlink" Target="http://www.bancomundial.org/es/news/feature/2013/05/13/helping-india-combat-persistently-high-rates-of-malnutrition" TargetMode="External"/><Relationship Id="rId14" Type="http://schemas.openxmlformats.org/officeDocument/2006/relationships/hyperlink" Target="http://www.indiaspend.com/budget-2015-modis-moment-of-reckoning/jaitley-slashes-education-health-spending-674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270D6-82DA-4DF2-80F4-D19EF76C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2928</Words>
  <Characters>16104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Fundacion Vicente Ferrer</Company>
  <LinksUpToDate>false</LinksUpToDate>
  <CharactersWithSpaces>18995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Moral Monclús</dc:creator>
  <cp:keywords/>
  <dc:description/>
  <cp:lastModifiedBy>Rocío Alonso-Rodríguez Piedra</cp:lastModifiedBy>
  <cp:revision>2</cp:revision>
  <cp:lastPrinted>2018-04-26T14:27:00Z</cp:lastPrinted>
  <dcterms:created xsi:type="dcterms:W3CDTF">2018-04-27T12:18:00Z</dcterms:created>
  <dcterms:modified xsi:type="dcterms:W3CDTF">2018-04-27T12:18:00Z</dcterms:modified>
</cp:coreProperties>
</file>