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F" w:rsidRPr="00DA5F93" w:rsidRDefault="005B54CF" w:rsidP="00E447B2">
      <w:pPr>
        <w:spacing w:after="0"/>
        <w:jc w:val="center"/>
        <w:rPr>
          <w:b/>
          <w:color w:val="002060"/>
          <w:sz w:val="24"/>
          <w:szCs w:val="24"/>
        </w:rPr>
      </w:pPr>
      <w:r w:rsidRPr="00DA5F93">
        <w:rPr>
          <w:b/>
          <w:color w:val="002060"/>
          <w:sz w:val="24"/>
          <w:szCs w:val="24"/>
        </w:rPr>
        <w:t xml:space="preserve">PROCESO DE PARTICIPACION DEL </w:t>
      </w:r>
    </w:p>
    <w:p w:rsidR="00D96A1D" w:rsidRPr="00DA5F93" w:rsidRDefault="00E447B2" w:rsidP="00E447B2">
      <w:pPr>
        <w:spacing w:after="0"/>
        <w:jc w:val="center"/>
        <w:rPr>
          <w:b/>
          <w:color w:val="002060"/>
          <w:sz w:val="24"/>
          <w:szCs w:val="24"/>
        </w:rPr>
      </w:pPr>
      <w:r w:rsidRPr="00DA5F93">
        <w:rPr>
          <w:b/>
          <w:color w:val="002060"/>
          <w:sz w:val="24"/>
          <w:szCs w:val="24"/>
        </w:rPr>
        <w:t>PLAN DIRECTOR DEL CICLO INTEGRAL DEL AGUA DE USO URBANO DE NAVARRA</w:t>
      </w:r>
      <w:r w:rsidR="005B54CF" w:rsidRPr="00DA5F93">
        <w:rPr>
          <w:b/>
          <w:color w:val="002060"/>
          <w:sz w:val="24"/>
          <w:szCs w:val="24"/>
        </w:rPr>
        <w:t xml:space="preserve"> </w:t>
      </w:r>
    </w:p>
    <w:p w:rsidR="005B54CF" w:rsidRPr="00DA5F93" w:rsidRDefault="00E447B2" w:rsidP="00E447B2">
      <w:pPr>
        <w:spacing w:after="0"/>
        <w:jc w:val="center"/>
        <w:rPr>
          <w:b/>
          <w:color w:val="002060"/>
          <w:sz w:val="24"/>
          <w:szCs w:val="24"/>
        </w:rPr>
      </w:pPr>
      <w:r w:rsidRPr="00DA5F93">
        <w:rPr>
          <w:b/>
          <w:color w:val="002060"/>
          <w:sz w:val="24"/>
          <w:szCs w:val="24"/>
        </w:rPr>
        <w:t>Algunos comentario</w:t>
      </w:r>
      <w:r w:rsidR="00001B46" w:rsidRPr="00DA5F93">
        <w:rPr>
          <w:b/>
          <w:color w:val="002060"/>
          <w:sz w:val="24"/>
          <w:szCs w:val="24"/>
        </w:rPr>
        <w:t>s críticos</w:t>
      </w:r>
      <w:r w:rsidR="005B54CF" w:rsidRPr="00DA5F93">
        <w:rPr>
          <w:b/>
          <w:color w:val="002060"/>
          <w:sz w:val="24"/>
          <w:szCs w:val="24"/>
        </w:rPr>
        <w:t xml:space="preserve"> y propuestas</w:t>
      </w:r>
    </w:p>
    <w:p w:rsidR="005B54CF" w:rsidRPr="00DA5F93" w:rsidRDefault="005B54CF" w:rsidP="00E447B2">
      <w:pPr>
        <w:spacing w:after="0"/>
        <w:jc w:val="center"/>
        <w:rPr>
          <w:b/>
          <w:i/>
          <w:color w:val="002060"/>
          <w:sz w:val="24"/>
          <w:szCs w:val="24"/>
        </w:rPr>
      </w:pPr>
      <w:r w:rsidRPr="00DA5F93">
        <w:rPr>
          <w:b/>
          <w:i/>
          <w:color w:val="002060"/>
          <w:sz w:val="24"/>
          <w:szCs w:val="24"/>
        </w:rPr>
        <w:t>URBIZI Red en defensa de los ríos</w:t>
      </w:r>
      <w:r w:rsidRPr="00DA5F93">
        <w:rPr>
          <w:rStyle w:val="Refdenotaalpie"/>
          <w:b/>
          <w:i/>
          <w:color w:val="002060"/>
          <w:sz w:val="24"/>
          <w:szCs w:val="24"/>
        </w:rPr>
        <w:footnoteReference w:id="1"/>
      </w:r>
    </w:p>
    <w:p w:rsidR="009B79E2" w:rsidRPr="00DA5F93" w:rsidRDefault="00D2116B" w:rsidP="009B79E2">
      <w:pPr>
        <w:pBdr>
          <w:bottom w:val="single" w:sz="4" w:space="1" w:color="auto"/>
        </w:pBdr>
        <w:spacing w:after="0"/>
        <w:jc w:val="right"/>
        <w:rPr>
          <w:b/>
          <w:i/>
          <w:color w:val="002060"/>
          <w:sz w:val="24"/>
          <w:szCs w:val="24"/>
        </w:rPr>
      </w:pPr>
      <w:r>
        <w:rPr>
          <w:b/>
          <w:i/>
          <w:color w:val="002060"/>
          <w:sz w:val="24"/>
          <w:szCs w:val="24"/>
        </w:rPr>
        <w:t>Febrero</w:t>
      </w:r>
      <w:r w:rsidR="009B79E2" w:rsidRPr="00DA5F93">
        <w:rPr>
          <w:b/>
          <w:i/>
          <w:color w:val="002060"/>
          <w:sz w:val="24"/>
          <w:szCs w:val="24"/>
        </w:rPr>
        <w:t xml:space="preserve"> 2018 </w:t>
      </w:r>
    </w:p>
    <w:p w:rsidR="00001B46" w:rsidRDefault="00001B46" w:rsidP="009B79E2">
      <w:pPr>
        <w:spacing w:after="0"/>
        <w:jc w:val="right"/>
        <w:rPr>
          <w:sz w:val="24"/>
          <w:szCs w:val="24"/>
        </w:rPr>
      </w:pPr>
    </w:p>
    <w:p w:rsidR="00E447B2" w:rsidRPr="00597212" w:rsidRDefault="00BC2838" w:rsidP="00E447B2">
      <w:pPr>
        <w:spacing w:after="0"/>
      </w:pPr>
      <w:r>
        <w:t xml:space="preserve"> </w:t>
      </w:r>
      <w:r w:rsidR="00E447B2" w:rsidRPr="00597212">
        <w:t>En este escrito no se abordan los aspectos pos</w:t>
      </w:r>
      <w:r w:rsidR="008D7415">
        <w:t>itivos del Plan, que son muchos:</w:t>
      </w:r>
      <w:r w:rsidR="00E447B2" w:rsidRPr="00597212">
        <w:t xml:space="preserve"> el enfoque integral de abastecimiento y saneamiento, el esfuerzo realizado para recopilar datos, la</w:t>
      </w:r>
      <w:r>
        <w:t>s</w:t>
      </w:r>
      <w:r w:rsidR="00E447B2" w:rsidRPr="00597212">
        <w:t xml:space="preserve"> propuesta</w:t>
      </w:r>
      <w:r>
        <w:t>s con</w:t>
      </w:r>
      <w:r w:rsidR="00E447B2" w:rsidRPr="00597212">
        <w:t xml:space="preserve"> </w:t>
      </w:r>
      <w:r w:rsidR="00001B46" w:rsidRPr="00597212">
        <w:t xml:space="preserve"> diferentes alternativas, etc</w:t>
      </w:r>
      <w:proofErr w:type="gramStart"/>
      <w:r w:rsidR="00001B46" w:rsidRPr="00597212">
        <w:t>. …</w:t>
      </w:r>
      <w:proofErr w:type="gramEnd"/>
      <w:r w:rsidR="00001B46" w:rsidRPr="00597212">
        <w:t xml:space="preserve"> </w:t>
      </w:r>
      <w:r w:rsidR="00E447B2" w:rsidRPr="00597212">
        <w:t>que suponen un avance muy significativo respecto a la situación anterior.</w:t>
      </w:r>
      <w:r w:rsidR="00480BC4" w:rsidRPr="00597212">
        <w:t xml:space="preserve"> </w:t>
      </w:r>
      <w:r w:rsidR="00E447B2" w:rsidRPr="00597212">
        <w:t>Nos centram</w:t>
      </w:r>
      <w:r w:rsidR="005B54CF" w:rsidRPr="00597212">
        <w:t>os en algunos aspectos críticos con sus correspondientes propuestas, realizados desde la perspectiva de la nueva cultura del agua, y con la intención de</w:t>
      </w:r>
      <w:r w:rsidR="00E447B2" w:rsidRPr="00597212">
        <w:t xml:space="preserve"> mejora</w:t>
      </w:r>
      <w:r w:rsidR="005B54CF" w:rsidRPr="00597212">
        <w:t xml:space="preserve">r </w:t>
      </w:r>
      <w:r w:rsidR="00E447B2" w:rsidRPr="00597212">
        <w:t>el Plan. Segurame</w:t>
      </w:r>
      <w:r w:rsidR="00606DB4" w:rsidRPr="00597212">
        <w:t>nte es esta nuestra función y lo</w:t>
      </w:r>
      <w:r w:rsidR="00E447B2" w:rsidRPr="00597212">
        <w:t xml:space="preserve"> que se espera de nosotros.</w:t>
      </w:r>
    </w:p>
    <w:p w:rsidR="007E7945" w:rsidRPr="00597212" w:rsidRDefault="007E7945" w:rsidP="007E7945">
      <w:pPr>
        <w:spacing w:after="0"/>
      </w:pPr>
      <w:r w:rsidRPr="00597212">
        <w:t>La gestión del cicl</w:t>
      </w:r>
      <w:r w:rsidR="008D7415">
        <w:t xml:space="preserve">o urbano del agua en Navarra siempre ha sido </w:t>
      </w:r>
      <w:r w:rsidRPr="00597212">
        <w:t>pública y con bastantes logros, pero no siempre ha sido sostenible ni transparente. El Plan es una oportunidad</w:t>
      </w:r>
      <w:r w:rsidR="008D7415">
        <w:t xml:space="preserve"> de mejora</w:t>
      </w:r>
      <w:r w:rsidRPr="00597212">
        <w:t xml:space="preserve"> </w:t>
      </w:r>
    </w:p>
    <w:p w:rsidR="007E7945" w:rsidRPr="00597212" w:rsidRDefault="007E7945" w:rsidP="00E447B2">
      <w:pPr>
        <w:spacing w:after="0"/>
      </w:pPr>
    </w:p>
    <w:p w:rsidR="000C3A9B" w:rsidRPr="00597212" w:rsidRDefault="000C3A9B" w:rsidP="00E447B2">
      <w:pPr>
        <w:spacing w:after="0"/>
      </w:pPr>
      <w:r w:rsidRPr="00597212">
        <w:t>Analizamos en primer lugar una serie de cuestiones trasversales y posteriormente abordamos propuestas para algunas zonas determinadas.</w:t>
      </w:r>
    </w:p>
    <w:p w:rsidR="000C3A9B" w:rsidRPr="00597212" w:rsidRDefault="000C3A9B" w:rsidP="00E447B2">
      <w:pPr>
        <w:spacing w:after="0"/>
      </w:pPr>
    </w:p>
    <w:p w:rsidR="000C3A9B" w:rsidRPr="00597212" w:rsidRDefault="000C3A9B" w:rsidP="00E447B2">
      <w:pPr>
        <w:spacing w:after="0"/>
        <w:rPr>
          <w:b/>
        </w:rPr>
      </w:pPr>
      <w:r w:rsidRPr="00597212">
        <w:rPr>
          <w:b/>
        </w:rPr>
        <w:t>TEMAS TRASVERSALES</w:t>
      </w:r>
    </w:p>
    <w:p w:rsidR="00BC2838" w:rsidRDefault="00BC2838" w:rsidP="00E447B2">
      <w:pPr>
        <w:spacing w:after="0"/>
        <w:rPr>
          <w:b/>
        </w:rPr>
      </w:pPr>
    </w:p>
    <w:p w:rsidR="0035467C" w:rsidRPr="00597212" w:rsidRDefault="00E447B2" w:rsidP="00E447B2">
      <w:pPr>
        <w:spacing w:after="0"/>
        <w:rPr>
          <w:b/>
        </w:rPr>
      </w:pPr>
      <w:r w:rsidRPr="00597212">
        <w:rPr>
          <w:b/>
        </w:rPr>
        <w:t>1.</w:t>
      </w:r>
      <w:r w:rsidR="000C7EFC" w:rsidRPr="00597212">
        <w:rPr>
          <w:b/>
        </w:rPr>
        <w:t>-</w:t>
      </w:r>
      <w:r w:rsidR="000C7EFC" w:rsidRPr="00597212">
        <w:t xml:space="preserve"> </w:t>
      </w:r>
      <w:r w:rsidR="000C7EFC" w:rsidRPr="00597212">
        <w:rPr>
          <w:b/>
        </w:rPr>
        <w:t>Buen estado de las masas de agua</w:t>
      </w:r>
      <w:r w:rsidR="009B79E2" w:rsidRPr="00597212">
        <w:rPr>
          <w:b/>
        </w:rPr>
        <w:t xml:space="preserve"> y </w:t>
      </w:r>
      <w:r w:rsidR="00493A54" w:rsidRPr="00597212">
        <w:rPr>
          <w:b/>
        </w:rPr>
        <w:t xml:space="preserve">el </w:t>
      </w:r>
      <w:r w:rsidR="00D520BD">
        <w:rPr>
          <w:b/>
        </w:rPr>
        <w:t>ciclo urbano</w:t>
      </w:r>
    </w:p>
    <w:p w:rsidR="00480BC4" w:rsidRPr="00597212" w:rsidRDefault="00FA7DA3" w:rsidP="00E447B2">
      <w:pPr>
        <w:spacing w:after="0"/>
        <w:rPr>
          <w:b/>
        </w:rPr>
      </w:pPr>
      <w:r w:rsidRPr="00597212">
        <w:t>E</w:t>
      </w:r>
      <w:r w:rsidR="00001B46" w:rsidRPr="00597212">
        <w:t xml:space="preserve">n los Objetivos </w:t>
      </w:r>
      <w:r w:rsidR="009B79E2" w:rsidRPr="00597212">
        <w:t>Estratégicos (</w:t>
      </w:r>
      <w:proofErr w:type="spellStart"/>
      <w:r w:rsidR="009B79E2" w:rsidRPr="00597212">
        <w:t>pag</w:t>
      </w:r>
      <w:proofErr w:type="spellEnd"/>
      <w:r w:rsidR="009B79E2" w:rsidRPr="00597212">
        <w:t xml:space="preserve"> 57</w:t>
      </w:r>
      <w:r w:rsidR="00001B46" w:rsidRPr="00597212">
        <w:t xml:space="preserve">) se </w:t>
      </w:r>
      <w:r w:rsidR="000C7EFC" w:rsidRPr="00597212">
        <w:t xml:space="preserve">señala que </w:t>
      </w:r>
      <w:r w:rsidR="00001B46" w:rsidRPr="00597212">
        <w:rPr>
          <w:i/>
        </w:rPr>
        <w:t>“</w:t>
      </w:r>
      <w:r w:rsidR="000C7EFC" w:rsidRPr="00597212">
        <w:rPr>
          <w:i/>
        </w:rPr>
        <w:t xml:space="preserve">el Plan </w:t>
      </w:r>
      <w:r w:rsidR="00001B46" w:rsidRPr="00597212">
        <w:rPr>
          <w:i/>
        </w:rPr>
        <w:t>Director es uno de los principales instrumentos para la consecución de</w:t>
      </w:r>
      <w:r w:rsidR="009B79E2" w:rsidRPr="00597212">
        <w:rPr>
          <w:i/>
        </w:rPr>
        <w:t>l buen estado de las agua superficiales y subterráneas</w:t>
      </w:r>
      <w:r w:rsidR="00001B46" w:rsidRPr="00597212">
        <w:rPr>
          <w:i/>
        </w:rPr>
        <w:t>”</w:t>
      </w:r>
      <w:r w:rsidR="000C7EFC" w:rsidRPr="00597212">
        <w:rPr>
          <w:i/>
        </w:rPr>
        <w:t>.</w:t>
      </w:r>
      <w:r w:rsidR="000C7EFC" w:rsidRPr="00597212">
        <w:t xml:space="preserve"> </w:t>
      </w:r>
    </w:p>
    <w:p w:rsidR="004B7A60" w:rsidRPr="00597212" w:rsidRDefault="009B79E2" w:rsidP="00E447B2">
      <w:pPr>
        <w:spacing w:after="0"/>
      </w:pPr>
      <w:r w:rsidRPr="00597212">
        <w:t>E</w:t>
      </w:r>
      <w:r w:rsidR="00E1236C" w:rsidRPr="00597212">
        <w:t>n e</w:t>
      </w:r>
      <w:r w:rsidR="008D7415">
        <w:t xml:space="preserve">l apartado </w:t>
      </w:r>
      <w:r w:rsidR="00E1236C" w:rsidRPr="00597212">
        <w:rPr>
          <w:i/>
        </w:rPr>
        <w:t xml:space="preserve">5.5 Alternativas para la mejora del saneamiento en alta </w:t>
      </w:r>
      <w:r w:rsidR="008D7415">
        <w:rPr>
          <w:i/>
        </w:rPr>
        <w:t>(</w:t>
      </w:r>
      <w:proofErr w:type="spellStart"/>
      <w:r w:rsidR="00E1236C" w:rsidRPr="00597212">
        <w:rPr>
          <w:i/>
        </w:rPr>
        <w:t>pag</w:t>
      </w:r>
      <w:proofErr w:type="spellEnd"/>
      <w:r w:rsidR="00E1236C" w:rsidRPr="00597212">
        <w:rPr>
          <w:i/>
        </w:rPr>
        <w:t xml:space="preserve"> 108</w:t>
      </w:r>
      <w:r w:rsidR="00E1236C" w:rsidRPr="00597212">
        <w:t>)</w:t>
      </w:r>
      <w:r w:rsidRPr="00597212">
        <w:t xml:space="preserve">  se señalan como prioritarias las actuaciones encaminadas a mejorar los ríos </w:t>
      </w:r>
      <w:proofErr w:type="spellStart"/>
      <w:r w:rsidR="00E1236C" w:rsidRPr="00597212">
        <w:t>Arakil</w:t>
      </w:r>
      <w:proofErr w:type="spellEnd"/>
      <w:r w:rsidR="00E1236C" w:rsidRPr="00597212">
        <w:t xml:space="preserve">, Arga, Cidacos, </w:t>
      </w:r>
      <w:proofErr w:type="spellStart"/>
      <w:r w:rsidR="00470FF4">
        <w:t>Queiles</w:t>
      </w:r>
      <w:proofErr w:type="spellEnd"/>
      <w:r w:rsidR="00470FF4">
        <w:t xml:space="preserve"> y Alhama y propone (</w:t>
      </w:r>
      <w:r w:rsidR="00E1236C" w:rsidRPr="00597212">
        <w:t>Alternativa 1</w:t>
      </w:r>
      <w:r w:rsidR="00470FF4">
        <w:t>)</w:t>
      </w:r>
      <w:r w:rsidR="00E1236C" w:rsidRPr="00597212">
        <w:t xml:space="preserve"> la realización de estudios sobre estas cuencas.</w:t>
      </w:r>
    </w:p>
    <w:p w:rsidR="00E1236C" w:rsidRPr="00597212" w:rsidRDefault="00E1236C" w:rsidP="00E447B2">
      <w:pPr>
        <w:spacing w:after="0"/>
      </w:pPr>
      <w:r w:rsidRPr="00597212">
        <w:t>Totalmente de acuerd</w:t>
      </w:r>
      <w:r w:rsidR="00470FF4">
        <w:t xml:space="preserve">o, pero echamos en falta, que </w:t>
      </w:r>
      <w:r w:rsidRPr="00597212">
        <w:t xml:space="preserve">en el diagnóstico </w:t>
      </w:r>
      <w:r w:rsidR="00470FF4">
        <w:t xml:space="preserve">se analicen las causas del mal estado de los ríos y en concreto </w:t>
      </w:r>
      <w:r w:rsidRPr="00597212">
        <w:t xml:space="preserve">la repercusión de las </w:t>
      </w:r>
      <w:r w:rsidR="00470FF4">
        <w:t>aguas residuales urbanas</w:t>
      </w:r>
      <w:r w:rsidR="000976A3">
        <w:t xml:space="preserve"> y extracciones para abastecimiento</w:t>
      </w:r>
      <w:r w:rsidR="00470FF4">
        <w:t>.</w:t>
      </w:r>
      <w:r w:rsidR="000976A3">
        <w:t xml:space="preserve"> Esto mismo se echa de menos en los objetivos.</w:t>
      </w:r>
    </w:p>
    <w:p w:rsidR="00470FF4" w:rsidRDefault="00E1236C" w:rsidP="00E447B2">
      <w:pPr>
        <w:spacing w:after="0"/>
      </w:pPr>
      <w:r w:rsidRPr="00597212">
        <w:t xml:space="preserve">El estudio WAT, que se cita en el borrador de Plan, señala que aunque no sea la causa principal, las aguas depuradas de la comarca de Pamplona tienen un impacto notable en el </w:t>
      </w:r>
      <w:r w:rsidR="00431C8A" w:rsidRPr="00597212">
        <w:t xml:space="preserve">mal </w:t>
      </w:r>
      <w:r w:rsidRPr="00597212">
        <w:t>estado del Arga. P</w:t>
      </w:r>
      <w:r w:rsidR="00470FF4">
        <w:t xml:space="preserve">or otra parte hay abundantes datos (que recoge este Plan) sobre desbordamientos e infiltraciones en colectores, que no necesitan de nuevos estudios para iniciar actuaciones. </w:t>
      </w:r>
      <w:r w:rsidR="000976A3">
        <w:t xml:space="preserve">Lo mismo se puede decir de la incidencia de las extracciones de </w:t>
      </w:r>
      <w:proofErr w:type="spellStart"/>
      <w:r w:rsidR="000976A3">
        <w:t>Lokiz</w:t>
      </w:r>
      <w:proofErr w:type="spellEnd"/>
      <w:r w:rsidR="000976A3">
        <w:t xml:space="preserve"> y </w:t>
      </w:r>
      <w:proofErr w:type="spellStart"/>
      <w:r w:rsidR="000976A3">
        <w:t>Riezu</w:t>
      </w:r>
      <w:proofErr w:type="spellEnd"/>
      <w:r w:rsidR="000976A3">
        <w:t>.</w:t>
      </w:r>
    </w:p>
    <w:p w:rsidR="00BC2838" w:rsidRDefault="00BC2838" w:rsidP="00E447B2">
      <w:pPr>
        <w:spacing w:after="0"/>
        <w:rPr>
          <w:b/>
          <w:i/>
          <w:color w:val="002060"/>
        </w:rPr>
      </w:pPr>
    </w:p>
    <w:p w:rsidR="00AC6E50" w:rsidRPr="00D520BD" w:rsidRDefault="00AC6E50" w:rsidP="00E447B2">
      <w:pPr>
        <w:spacing w:after="0"/>
        <w:rPr>
          <w:i/>
          <w:color w:val="002060"/>
          <w:u w:val="single"/>
        </w:rPr>
      </w:pPr>
      <w:r w:rsidRPr="00D520BD">
        <w:rPr>
          <w:b/>
          <w:i/>
          <w:color w:val="002060"/>
          <w:u w:val="single"/>
        </w:rPr>
        <w:t>Propuesta</w:t>
      </w:r>
      <w:r w:rsidR="000976A3" w:rsidRPr="00D520BD">
        <w:rPr>
          <w:b/>
          <w:i/>
          <w:color w:val="002060"/>
          <w:u w:val="single"/>
        </w:rPr>
        <w:t>s</w:t>
      </w:r>
      <w:r w:rsidR="00431C8A" w:rsidRPr="00D520BD">
        <w:rPr>
          <w:b/>
          <w:i/>
          <w:color w:val="002060"/>
          <w:u w:val="single"/>
        </w:rPr>
        <w:t>:</w:t>
      </w:r>
    </w:p>
    <w:p w:rsidR="00470FF4" w:rsidRPr="00D520BD" w:rsidRDefault="00AC6E50" w:rsidP="00D520BD">
      <w:pPr>
        <w:pStyle w:val="Prrafodelista"/>
        <w:numPr>
          <w:ilvl w:val="0"/>
          <w:numId w:val="12"/>
        </w:numPr>
        <w:spacing w:after="0"/>
        <w:rPr>
          <w:i/>
          <w:color w:val="002060"/>
        </w:rPr>
      </w:pPr>
      <w:r w:rsidRPr="00D520BD">
        <w:rPr>
          <w:i/>
          <w:color w:val="002060"/>
        </w:rPr>
        <w:t>Estamos de  acuerdo en la propuesta de estudios (</w:t>
      </w:r>
      <w:proofErr w:type="spellStart"/>
      <w:r w:rsidRPr="00D520BD">
        <w:rPr>
          <w:i/>
          <w:color w:val="002060"/>
        </w:rPr>
        <w:t>pag</w:t>
      </w:r>
      <w:proofErr w:type="spellEnd"/>
      <w:r w:rsidRPr="00D520BD">
        <w:rPr>
          <w:i/>
          <w:color w:val="002060"/>
        </w:rPr>
        <w:t xml:space="preserve"> 109), pero </w:t>
      </w:r>
      <w:r w:rsidR="00470FF4" w:rsidRPr="00D520BD">
        <w:rPr>
          <w:i/>
          <w:color w:val="002060"/>
        </w:rPr>
        <w:t>estos no deben retrasar actuaciones para evitar problemas de desbordamientos en colectores ya identificados.</w:t>
      </w:r>
    </w:p>
    <w:p w:rsidR="00470FF4" w:rsidRPr="00D520BD" w:rsidRDefault="00470FF4" w:rsidP="00D520BD">
      <w:pPr>
        <w:pStyle w:val="Prrafodelista"/>
        <w:numPr>
          <w:ilvl w:val="0"/>
          <w:numId w:val="12"/>
        </w:numPr>
        <w:spacing w:after="0"/>
        <w:rPr>
          <w:i/>
          <w:color w:val="002060"/>
        </w:rPr>
      </w:pPr>
      <w:r w:rsidRPr="00D520BD">
        <w:rPr>
          <w:i/>
          <w:color w:val="002060"/>
        </w:rPr>
        <w:t>El diagnóstico debe recoger no solo el estado de las masas de agua, sino también las causas del mal estado, especialmente cuando tienen relación con el saneamiento</w:t>
      </w:r>
      <w:r w:rsidR="000976A3" w:rsidRPr="00D520BD">
        <w:rPr>
          <w:i/>
          <w:color w:val="002060"/>
        </w:rPr>
        <w:t xml:space="preserve"> (</w:t>
      </w:r>
      <w:proofErr w:type="spellStart"/>
      <w:r w:rsidR="000976A3" w:rsidRPr="00D520BD">
        <w:rPr>
          <w:i/>
          <w:color w:val="002060"/>
        </w:rPr>
        <w:t>Arakil</w:t>
      </w:r>
      <w:proofErr w:type="spellEnd"/>
      <w:r w:rsidR="000976A3" w:rsidRPr="00D520BD">
        <w:rPr>
          <w:i/>
          <w:color w:val="002060"/>
        </w:rPr>
        <w:t>,</w:t>
      </w:r>
      <w:r w:rsidR="000976A3" w:rsidRPr="00950D4B">
        <w:rPr>
          <w:i/>
          <w:color w:val="002060"/>
        </w:rPr>
        <w:t xml:space="preserve"> </w:t>
      </w:r>
      <w:r w:rsidR="000976A3" w:rsidRPr="00D520BD">
        <w:rPr>
          <w:i/>
          <w:color w:val="002060"/>
        </w:rPr>
        <w:lastRenderedPageBreak/>
        <w:t xml:space="preserve">Arga, Cidacos, </w:t>
      </w:r>
      <w:proofErr w:type="spellStart"/>
      <w:r w:rsidR="000976A3" w:rsidRPr="00D520BD">
        <w:rPr>
          <w:i/>
          <w:color w:val="002060"/>
        </w:rPr>
        <w:t>Queiles</w:t>
      </w:r>
      <w:proofErr w:type="spellEnd"/>
      <w:r w:rsidR="000976A3" w:rsidRPr="00D520BD">
        <w:rPr>
          <w:i/>
          <w:color w:val="002060"/>
        </w:rPr>
        <w:t xml:space="preserve"> y Alhama)</w:t>
      </w:r>
      <w:r w:rsidRPr="00D520BD">
        <w:rPr>
          <w:i/>
          <w:color w:val="002060"/>
        </w:rPr>
        <w:t xml:space="preserve"> y también con el abastecimiento (extracciones de los manantiales de </w:t>
      </w:r>
      <w:proofErr w:type="spellStart"/>
      <w:r w:rsidRPr="00D520BD">
        <w:rPr>
          <w:i/>
          <w:color w:val="002060"/>
        </w:rPr>
        <w:t>Lokiz</w:t>
      </w:r>
      <w:proofErr w:type="spellEnd"/>
      <w:r w:rsidRPr="00D520BD">
        <w:rPr>
          <w:i/>
          <w:color w:val="002060"/>
        </w:rPr>
        <w:t xml:space="preserve">, de </w:t>
      </w:r>
      <w:proofErr w:type="spellStart"/>
      <w:r w:rsidRPr="00D520BD">
        <w:rPr>
          <w:i/>
          <w:color w:val="002060"/>
        </w:rPr>
        <w:t>Riezu</w:t>
      </w:r>
      <w:proofErr w:type="spellEnd"/>
      <w:r w:rsidRPr="00D520BD">
        <w:rPr>
          <w:i/>
          <w:color w:val="002060"/>
        </w:rPr>
        <w:t>, …</w:t>
      </w:r>
      <w:r w:rsidR="000976A3" w:rsidRPr="00D520BD">
        <w:rPr>
          <w:i/>
          <w:color w:val="002060"/>
        </w:rPr>
        <w:t xml:space="preserve"> y su incidencia en el río</w:t>
      </w:r>
      <w:r w:rsidRPr="00D520BD">
        <w:rPr>
          <w:i/>
          <w:color w:val="002060"/>
        </w:rPr>
        <w:t>)</w:t>
      </w:r>
    </w:p>
    <w:p w:rsidR="00AC6E50" w:rsidRPr="00950D4B" w:rsidRDefault="000976A3" w:rsidP="00D520BD">
      <w:pPr>
        <w:pStyle w:val="Prrafodelista"/>
        <w:numPr>
          <w:ilvl w:val="0"/>
          <w:numId w:val="12"/>
        </w:numPr>
        <w:spacing w:after="0"/>
        <w:rPr>
          <w:i/>
          <w:color w:val="002060"/>
        </w:rPr>
      </w:pPr>
      <w:r w:rsidRPr="00950D4B">
        <w:rPr>
          <w:i/>
          <w:color w:val="002060"/>
        </w:rPr>
        <w:t>Incluir en los objetivos del Plan la mejora de estas masas de agua con sus correspondientes medidas</w:t>
      </w:r>
      <w:r w:rsidR="00AC6E50" w:rsidRPr="00950D4B">
        <w:rPr>
          <w:i/>
          <w:color w:val="002060"/>
        </w:rPr>
        <w:t>, tenien</w:t>
      </w:r>
      <w:r w:rsidR="00431C8A" w:rsidRPr="00950D4B">
        <w:rPr>
          <w:i/>
          <w:color w:val="002060"/>
        </w:rPr>
        <w:t>do en cuenta que el Plan Hidroló</w:t>
      </w:r>
      <w:r w:rsidR="00AC6E50" w:rsidRPr="00950D4B">
        <w:rPr>
          <w:i/>
          <w:color w:val="002060"/>
        </w:rPr>
        <w:t>gico del Ebro plantea la recuperación del</w:t>
      </w:r>
      <w:r w:rsidR="00AC6E50" w:rsidRPr="000976A3">
        <w:rPr>
          <w:color w:val="002060"/>
        </w:rPr>
        <w:t xml:space="preserve"> </w:t>
      </w:r>
      <w:r w:rsidR="00AC6E50" w:rsidRPr="00950D4B">
        <w:rPr>
          <w:i/>
          <w:color w:val="002060"/>
        </w:rPr>
        <w:t>buen estado de estas masas de agua para el 2027, es decir dentro del periodo de aplicación de este plan.</w:t>
      </w:r>
    </w:p>
    <w:p w:rsidR="009E61C0" w:rsidRPr="00597212" w:rsidRDefault="009E61C0" w:rsidP="00E447B2">
      <w:pPr>
        <w:spacing w:after="0"/>
      </w:pPr>
    </w:p>
    <w:p w:rsidR="00A15233" w:rsidRPr="00597212" w:rsidRDefault="00493A54" w:rsidP="00E447B2">
      <w:pPr>
        <w:spacing w:after="0"/>
        <w:rPr>
          <w:b/>
        </w:rPr>
      </w:pPr>
      <w:r w:rsidRPr="00597212">
        <w:rPr>
          <w:b/>
        </w:rPr>
        <w:t>2.- Orí</w:t>
      </w:r>
      <w:r w:rsidR="000C3A9B" w:rsidRPr="00597212">
        <w:rPr>
          <w:b/>
        </w:rPr>
        <w:t>genes y calidades</w:t>
      </w:r>
      <w:r w:rsidR="009C6261" w:rsidRPr="00597212">
        <w:rPr>
          <w:b/>
        </w:rPr>
        <w:t xml:space="preserve"> diferentes </w:t>
      </w:r>
      <w:r w:rsidR="000C3A9B" w:rsidRPr="00597212">
        <w:rPr>
          <w:b/>
        </w:rPr>
        <w:t xml:space="preserve">según los </w:t>
      </w:r>
      <w:r w:rsidR="009C6261" w:rsidRPr="00597212">
        <w:rPr>
          <w:b/>
        </w:rPr>
        <w:t>usos</w:t>
      </w:r>
      <w:r w:rsidR="006936DD" w:rsidRPr="00597212">
        <w:rPr>
          <w:b/>
        </w:rPr>
        <w:t xml:space="preserve">. </w:t>
      </w:r>
    </w:p>
    <w:p w:rsidR="00BC2838" w:rsidRDefault="009C6261" w:rsidP="00E447B2">
      <w:pPr>
        <w:spacing w:after="0"/>
      </w:pPr>
      <w:r w:rsidRPr="00597212">
        <w:t>E</w:t>
      </w:r>
      <w:r w:rsidR="006936DD" w:rsidRPr="00597212">
        <w:t xml:space="preserve">n los Objetivos </w:t>
      </w:r>
      <w:r w:rsidR="000C3A9B" w:rsidRPr="00597212">
        <w:t>de prestación del Servicio (</w:t>
      </w:r>
      <w:proofErr w:type="spellStart"/>
      <w:r w:rsidR="000C3A9B" w:rsidRPr="00597212">
        <w:t>pag</w:t>
      </w:r>
      <w:proofErr w:type="spellEnd"/>
      <w:r w:rsidR="000C3A9B" w:rsidRPr="00597212">
        <w:t xml:space="preserve"> 57</w:t>
      </w:r>
      <w:r w:rsidR="006936DD" w:rsidRPr="00597212">
        <w:t xml:space="preserve">), </w:t>
      </w:r>
      <w:r w:rsidRPr="00597212">
        <w:t xml:space="preserve">se afirma </w:t>
      </w:r>
      <w:r w:rsidRPr="00597212">
        <w:rPr>
          <w:i/>
        </w:rPr>
        <w:t>“Se considerarán posibles or</w:t>
      </w:r>
      <w:r w:rsidR="000C3A9B" w:rsidRPr="00597212">
        <w:rPr>
          <w:i/>
        </w:rPr>
        <w:t>ígenes diferentes según los usos: determinados usos</w:t>
      </w:r>
      <w:r w:rsidRPr="00597212">
        <w:rPr>
          <w:i/>
        </w:rPr>
        <w:t xml:space="preserve"> que requieran una menor calidad (riegos de parques y jardines, limpiezas, refrigeración, determinadas</w:t>
      </w:r>
      <w:r w:rsidR="00431C8A" w:rsidRPr="00597212">
        <w:rPr>
          <w:i/>
        </w:rPr>
        <w:t xml:space="preserve"> aplicaciones industriales</w:t>
      </w:r>
      <w:r w:rsidR="00710E21" w:rsidRPr="00597212">
        <w:rPr>
          <w:i/>
        </w:rPr>
        <w:t>) podrán obtenerse de fuentes de una calidad suficiente pero algo menor</w:t>
      </w:r>
      <w:r w:rsidR="000C3A9B" w:rsidRPr="00597212">
        <w:rPr>
          <w:i/>
        </w:rPr>
        <w:t xml:space="preserve"> que los destinados a consumo</w:t>
      </w:r>
      <w:r w:rsidR="00710E21" w:rsidRPr="00597212">
        <w:rPr>
          <w:i/>
        </w:rPr>
        <w:t>”.</w:t>
      </w:r>
      <w:r w:rsidR="00710E21" w:rsidRPr="00597212">
        <w:t xml:space="preserve"> </w:t>
      </w:r>
      <w:r w:rsidR="006936DD" w:rsidRPr="00597212">
        <w:t xml:space="preserve"> </w:t>
      </w:r>
    </w:p>
    <w:p w:rsidR="00025C08" w:rsidRPr="00BC2838" w:rsidRDefault="000C3A9B" w:rsidP="00E447B2">
      <w:pPr>
        <w:spacing w:after="0"/>
      </w:pPr>
      <w:r w:rsidRPr="00597212">
        <w:t>Totalmente de acuerdo</w:t>
      </w:r>
      <w:r w:rsidR="00BC2838">
        <w:t>, pero aq</w:t>
      </w:r>
      <w:r w:rsidRPr="00597212">
        <w:t>uí sucede lo contrario que en el punto anterior,</w:t>
      </w:r>
      <w:r w:rsidR="00BC2838">
        <w:t xml:space="preserve"> lo que</w:t>
      </w:r>
      <w:r w:rsidRPr="00597212">
        <w:t xml:space="preserve"> aparece  </w:t>
      </w:r>
      <w:r w:rsidR="00BC2838">
        <w:t>resaltado en los objetivos</w:t>
      </w:r>
      <w:r w:rsidRPr="00597212">
        <w:t xml:space="preserve"> se difumina en las actuaciones. </w:t>
      </w:r>
      <w:r w:rsidR="00025C08" w:rsidRPr="00597212">
        <w:t xml:space="preserve">En el apartado </w:t>
      </w:r>
      <w:r w:rsidR="00025C08" w:rsidRPr="00597212">
        <w:rPr>
          <w:i/>
        </w:rPr>
        <w:t>5.4.3 Diferentes recursos para diferentes usos (</w:t>
      </w:r>
      <w:proofErr w:type="spellStart"/>
      <w:r w:rsidR="00025C08" w:rsidRPr="00597212">
        <w:rPr>
          <w:i/>
        </w:rPr>
        <w:t>pag</w:t>
      </w:r>
      <w:proofErr w:type="spellEnd"/>
      <w:r w:rsidR="00025C08" w:rsidRPr="00597212">
        <w:rPr>
          <w:i/>
        </w:rPr>
        <w:t xml:space="preserve"> 106)</w:t>
      </w:r>
      <w:r w:rsidR="00025C08" w:rsidRPr="00597212">
        <w:t>,  habla de estudios específicos durante el primer sexenio, aunque abre una puerta esperanzadora “</w:t>
      </w:r>
      <w:r w:rsidR="00025C08" w:rsidRPr="00597212">
        <w:rPr>
          <w:i/>
        </w:rPr>
        <w:t>puede resultar de interés emplear aguas de pozos aluviales para usos menos exigentes: esto parece más factible en el ámbito sur de Montejurra y en el de la Ribera Alta, donde se van a liberar concesiones de pozo</w:t>
      </w:r>
      <w:r w:rsidR="00BC2838">
        <w:rPr>
          <w:i/>
        </w:rPr>
        <w:t>s</w:t>
      </w:r>
      <w:r w:rsidR="00025C08" w:rsidRPr="00597212">
        <w:rPr>
          <w:i/>
        </w:rPr>
        <w:t xml:space="preserve"> que actualmente se usan para abastecimiento</w:t>
      </w:r>
      <w:r w:rsidR="00DE4069" w:rsidRPr="00597212">
        <w:rPr>
          <w:i/>
        </w:rPr>
        <w:t xml:space="preserve"> </w:t>
      </w:r>
      <w:r w:rsidR="00025C08" w:rsidRPr="00597212">
        <w:rPr>
          <w:i/>
        </w:rPr>
        <w:t>y que se podrían destinar, cuando menos parcialmente, para este objetivo”</w:t>
      </w:r>
    </w:p>
    <w:p w:rsidR="00DE4069" w:rsidRPr="00597212" w:rsidRDefault="00025C08" w:rsidP="00DE4069">
      <w:pPr>
        <w:spacing w:after="0"/>
      </w:pPr>
      <w:r w:rsidRPr="00597212">
        <w:t>Seguimos de acuerdo, pero el problema radica que en las actuaciones por comarcas, ni en Montejur</w:t>
      </w:r>
      <w:r w:rsidR="00DE4069" w:rsidRPr="00597212">
        <w:t xml:space="preserve">ra ni en la Ribera Alta aparece esta alternativa.  Muchos de estos pozos se van a clausurar próximamente y  cuentan con maquinaria de bombeo y conducciones </w:t>
      </w:r>
      <w:r w:rsidR="00431C8A" w:rsidRPr="00597212">
        <w:t xml:space="preserve">amortizadas </w:t>
      </w:r>
      <w:r w:rsidR="00DE4069" w:rsidRPr="00597212">
        <w:t>que pueden utilizarse de inmediato y que posiblemente se degradarán si su utilización se deja pendiente de estudios y decisiones posteriores. Es un tema significativo y una buena oportunidad para que este Plan sea un ejemplo de sostenibilidad, diversificación y eficiencia. Supondría un ahorro significativo de aguas brutas de calidad con la con</w:t>
      </w:r>
      <w:r w:rsidR="00431C8A" w:rsidRPr="00597212">
        <w:t>siguiente reducción de impactos y costes.</w:t>
      </w:r>
    </w:p>
    <w:p w:rsidR="00DE4069" w:rsidRPr="00597212" w:rsidRDefault="00DE4069" w:rsidP="00DE4069">
      <w:pPr>
        <w:spacing w:after="0"/>
      </w:pPr>
      <w:r w:rsidRPr="00597212">
        <w:t>Por otra par</w:t>
      </w:r>
      <w:r w:rsidR="00D42FA2" w:rsidRPr="00597212">
        <w:t xml:space="preserve">te no hay que olvidar que </w:t>
      </w:r>
      <w:r w:rsidR="00431C8A" w:rsidRPr="00597212">
        <w:t xml:space="preserve">la contaminación de estos pozos es </w:t>
      </w:r>
      <w:r w:rsidR="00D42FA2" w:rsidRPr="00597212">
        <w:t xml:space="preserve">el argumento </w:t>
      </w:r>
      <w:r w:rsidR="00431C8A" w:rsidRPr="00597212">
        <w:t xml:space="preserve">que se está utilizando </w:t>
      </w:r>
      <w:r w:rsidR="00D42FA2" w:rsidRPr="00597212">
        <w:t>para buscar nuevas fuentes de suministro, pero no se analiza por qué se ha llegado a esta situación en unos pocos años, cuando se trata de un grave incumplimiento de la normativa que obliga a la protección de las fuentes de agua de abastecimiento, además de un mal</w:t>
      </w:r>
      <w:r w:rsidR="00C41636" w:rsidRPr="00597212">
        <w:t>ísimo</w:t>
      </w:r>
      <w:r w:rsidR="00D42FA2" w:rsidRPr="00597212">
        <w:t xml:space="preserve"> ejemplo para </w:t>
      </w:r>
      <w:r w:rsidR="00C41636" w:rsidRPr="00597212">
        <w:t>la c</w:t>
      </w:r>
      <w:r w:rsidR="008D7415">
        <w:t>ultura de la sostenibilidad (permitimos</w:t>
      </w:r>
      <w:r w:rsidR="00C41636" w:rsidRPr="00597212">
        <w:t xml:space="preserve"> que se deterioren nuestras fuentes y  exigimos que nos traigan de otro lado)</w:t>
      </w:r>
    </w:p>
    <w:p w:rsidR="00D42FA2" w:rsidRPr="00597212" w:rsidRDefault="00D42FA2" w:rsidP="00DE4069">
      <w:pPr>
        <w:spacing w:after="0"/>
      </w:pPr>
      <w:r w:rsidRPr="00597212">
        <w:t>Estamos obligados a recuperar a medio plazo la calidad de estos acuíferos y la mejor forma es seguir utilizándolos e incluirlos entre las fuentes de ab</w:t>
      </w:r>
      <w:r w:rsidR="00431C8A" w:rsidRPr="00597212">
        <w:t>a</w:t>
      </w:r>
      <w:r w:rsidRPr="00597212">
        <w:t xml:space="preserve">stecimiento </w:t>
      </w:r>
      <w:r w:rsidR="00431C8A" w:rsidRPr="00597212">
        <w:t xml:space="preserve">para usos de menor calidad y </w:t>
      </w:r>
      <w:r w:rsidRPr="00597212">
        <w:t>que deben de tener la protección suficiente para evitar contaminaciones</w:t>
      </w:r>
      <w:r w:rsidR="00431C8A" w:rsidRPr="00597212">
        <w:t xml:space="preserve"> y procurar su recuperación</w:t>
      </w:r>
      <w:r w:rsidRPr="00597212">
        <w:t>.</w:t>
      </w:r>
    </w:p>
    <w:p w:rsidR="00DE4069" w:rsidRPr="00D520BD" w:rsidRDefault="00DE4069" w:rsidP="00E447B2">
      <w:pPr>
        <w:spacing w:after="0"/>
        <w:rPr>
          <w:b/>
          <w:i/>
          <w:color w:val="002060"/>
          <w:u w:val="single"/>
        </w:rPr>
      </w:pPr>
      <w:r w:rsidRPr="00D520BD">
        <w:rPr>
          <w:b/>
          <w:i/>
          <w:color w:val="002060"/>
          <w:u w:val="single"/>
        </w:rPr>
        <w:t>Propuesta</w:t>
      </w:r>
      <w:r w:rsidR="000976A3" w:rsidRPr="00D520BD">
        <w:rPr>
          <w:b/>
          <w:i/>
          <w:color w:val="002060"/>
          <w:u w:val="single"/>
        </w:rPr>
        <w:t>s</w:t>
      </w:r>
      <w:r w:rsidR="00431C8A" w:rsidRPr="00D520BD">
        <w:rPr>
          <w:b/>
          <w:i/>
          <w:color w:val="002060"/>
          <w:u w:val="single"/>
        </w:rPr>
        <w:t>:</w:t>
      </w:r>
    </w:p>
    <w:p w:rsidR="00431C8A" w:rsidRPr="00950D4B" w:rsidRDefault="00D42FA2" w:rsidP="00D520BD">
      <w:pPr>
        <w:pStyle w:val="Prrafodelista"/>
        <w:numPr>
          <w:ilvl w:val="0"/>
          <w:numId w:val="11"/>
        </w:numPr>
        <w:spacing w:after="0"/>
        <w:rPr>
          <w:i/>
          <w:color w:val="002060"/>
        </w:rPr>
      </w:pPr>
      <w:r w:rsidRPr="00950D4B">
        <w:rPr>
          <w:i/>
          <w:color w:val="002060"/>
        </w:rPr>
        <w:t xml:space="preserve">Incluir </w:t>
      </w:r>
      <w:r w:rsidR="00DE4069" w:rsidRPr="00950D4B">
        <w:rPr>
          <w:i/>
          <w:color w:val="002060"/>
        </w:rPr>
        <w:t xml:space="preserve"> la utilización de agua de los pozos </w:t>
      </w:r>
      <w:r w:rsidRPr="00950D4B">
        <w:rPr>
          <w:i/>
          <w:color w:val="002060"/>
        </w:rPr>
        <w:t>aluviales (uso actual o reciente) en las alternativas de abastecimiento para comarcas</w:t>
      </w:r>
      <w:r w:rsidR="00C41636" w:rsidRPr="00950D4B">
        <w:rPr>
          <w:i/>
          <w:color w:val="002060"/>
        </w:rPr>
        <w:t xml:space="preserve"> y determinar sus posibles usos que requieren menor calidad.</w:t>
      </w:r>
    </w:p>
    <w:p w:rsidR="00C41636" w:rsidRPr="00950D4B" w:rsidRDefault="00C41636" w:rsidP="00D520BD">
      <w:pPr>
        <w:pStyle w:val="Prrafodelista"/>
        <w:numPr>
          <w:ilvl w:val="0"/>
          <w:numId w:val="11"/>
        </w:numPr>
        <w:spacing w:after="0"/>
        <w:rPr>
          <w:i/>
          <w:color w:val="002060"/>
        </w:rPr>
      </w:pPr>
      <w:r w:rsidRPr="00950D4B">
        <w:rPr>
          <w:i/>
          <w:color w:val="002060"/>
        </w:rPr>
        <w:t>Incluir estos pozos en el registro de fuentes de agua de abastecimiento que señala la DMA y que obliga a su protección.</w:t>
      </w:r>
    </w:p>
    <w:p w:rsidR="00926AC7" w:rsidRPr="00597212" w:rsidRDefault="00926AC7" w:rsidP="00E447B2">
      <w:pPr>
        <w:spacing w:after="0"/>
      </w:pPr>
    </w:p>
    <w:p w:rsidR="00A15233" w:rsidRPr="00597212" w:rsidRDefault="002B35D9" w:rsidP="00E447B2">
      <w:pPr>
        <w:spacing w:after="0"/>
      </w:pPr>
      <w:r w:rsidRPr="00597212">
        <w:rPr>
          <w:b/>
        </w:rPr>
        <w:t>3</w:t>
      </w:r>
      <w:r w:rsidR="00926AC7" w:rsidRPr="00597212">
        <w:rPr>
          <w:b/>
        </w:rPr>
        <w:t>.-Gestion de la demanda</w:t>
      </w:r>
      <w:r w:rsidR="006005C5" w:rsidRPr="00597212">
        <w:t xml:space="preserve">. </w:t>
      </w:r>
    </w:p>
    <w:p w:rsidR="00C41636" w:rsidRPr="00597212" w:rsidRDefault="006005C5" w:rsidP="00E447B2">
      <w:pPr>
        <w:spacing w:after="0"/>
      </w:pPr>
      <w:r w:rsidRPr="00597212">
        <w:t xml:space="preserve">En el apartado </w:t>
      </w:r>
      <w:r w:rsidR="00926AC7" w:rsidRPr="00597212">
        <w:rPr>
          <w:i/>
        </w:rPr>
        <w:t xml:space="preserve">4.2 </w:t>
      </w:r>
      <w:r w:rsidRPr="00597212">
        <w:rPr>
          <w:i/>
        </w:rPr>
        <w:t>O</w:t>
      </w:r>
      <w:r w:rsidR="00926AC7" w:rsidRPr="00597212">
        <w:rPr>
          <w:i/>
        </w:rPr>
        <w:t xml:space="preserve">bjetivos </w:t>
      </w:r>
      <w:r w:rsidR="00C41636" w:rsidRPr="00597212">
        <w:rPr>
          <w:i/>
        </w:rPr>
        <w:t xml:space="preserve">de prestación de los </w:t>
      </w:r>
      <w:r w:rsidRPr="00597212">
        <w:rPr>
          <w:i/>
        </w:rPr>
        <w:t xml:space="preserve"> </w:t>
      </w:r>
      <w:r w:rsidR="00926AC7" w:rsidRPr="00597212">
        <w:rPr>
          <w:i/>
        </w:rPr>
        <w:t>servicio</w:t>
      </w:r>
      <w:r w:rsidR="00C41636" w:rsidRPr="00597212">
        <w:rPr>
          <w:i/>
        </w:rPr>
        <w:t>s</w:t>
      </w:r>
      <w:r w:rsidR="00E152E2" w:rsidRPr="00597212">
        <w:t xml:space="preserve"> </w:t>
      </w:r>
      <w:proofErr w:type="gramStart"/>
      <w:r w:rsidRPr="00597212">
        <w:t>(</w:t>
      </w:r>
      <w:r w:rsidR="00926AC7" w:rsidRPr="00597212">
        <w:t xml:space="preserve"> p</w:t>
      </w:r>
      <w:r w:rsidR="00493A54" w:rsidRPr="00597212">
        <w:t>ag.57</w:t>
      </w:r>
      <w:proofErr w:type="gramEnd"/>
      <w:r w:rsidRPr="00597212">
        <w:t>)</w:t>
      </w:r>
      <w:r w:rsidR="00926AC7" w:rsidRPr="00597212">
        <w:t>,</w:t>
      </w:r>
      <w:r w:rsidRPr="00597212">
        <w:t xml:space="preserve"> </w:t>
      </w:r>
      <w:r w:rsidR="00E152E2" w:rsidRPr="00597212">
        <w:t xml:space="preserve">se </w:t>
      </w:r>
      <w:r w:rsidRPr="00597212">
        <w:t xml:space="preserve">plantea como objetivo </w:t>
      </w:r>
      <w:r w:rsidRPr="00597212">
        <w:rPr>
          <w:i/>
        </w:rPr>
        <w:t>“ la satisfacción de las demandas futuras pero desde criterios de eficiencia y consumo responsable y sostenible</w:t>
      </w:r>
      <w:r w:rsidRPr="00597212">
        <w:t>”</w:t>
      </w:r>
      <w:r w:rsidR="00C41636" w:rsidRPr="00597212">
        <w:t xml:space="preserve">. </w:t>
      </w:r>
    </w:p>
    <w:p w:rsidR="00AE455A" w:rsidRDefault="00C41636" w:rsidP="00E447B2">
      <w:pPr>
        <w:spacing w:after="0"/>
      </w:pPr>
      <w:r w:rsidRPr="00597212">
        <w:t xml:space="preserve">Totalmente de acuerdo con el planteamiento general, con las </w:t>
      </w:r>
      <w:r w:rsidR="00AE455A">
        <w:t xml:space="preserve">estimaciones para las </w:t>
      </w:r>
      <w:r w:rsidRPr="00597212">
        <w:t xml:space="preserve">dotaciones domésticas y con el </w:t>
      </w:r>
      <w:r w:rsidR="00AE455A">
        <w:t xml:space="preserve">objetivo de </w:t>
      </w:r>
      <w:r w:rsidRPr="00597212">
        <w:t xml:space="preserve">reducir la ANR, </w:t>
      </w:r>
      <w:r w:rsidR="00AE455A">
        <w:t>(agua no registrada).</w:t>
      </w:r>
    </w:p>
    <w:p w:rsidR="00AE455A" w:rsidRDefault="00AE455A" w:rsidP="00E447B2">
      <w:pPr>
        <w:spacing w:after="0"/>
      </w:pPr>
      <w:r>
        <w:t>En lo que se refiere a la ANR se plantean objetivos ambiciosos, pero se echa en falta un diagnóstico de la situación, una cuestión tan elemental como cuanta ANR se debe a fugas en la red y cuanto a falta de facturación, lo que tiene una importancia crucial, ya que la renovación de redes van a requerir fuertes inversiones que habrá que prever.</w:t>
      </w:r>
    </w:p>
    <w:p w:rsidR="00943D2C" w:rsidRPr="00597212" w:rsidRDefault="00AE455A" w:rsidP="00E447B2">
      <w:pPr>
        <w:spacing w:after="0"/>
      </w:pPr>
      <w:r>
        <w:t>N</w:t>
      </w:r>
      <w:r w:rsidR="00C41636" w:rsidRPr="00597212">
        <w:t xml:space="preserve">os sorprende el incremento previsto del 44%  del consumo industrial conectado a la </w:t>
      </w:r>
      <w:r w:rsidR="006005C5" w:rsidRPr="00597212">
        <w:t xml:space="preserve"> </w:t>
      </w:r>
      <w:r w:rsidR="00C41636" w:rsidRPr="00597212">
        <w:t>red</w:t>
      </w:r>
      <w:r w:rsidR="00CA6020" w:rsidRPr="00597212">
        <w:t xml:space="preserve"> y del 20% del consumo de Otros (jardines, piscinas, calles…). </w:t>
      </w:r>
    </w:p>
    <w:p w:rsidR="00C41636" w:rsidRPr="00597212" w:rsidRDefault="00CA6020" w:rsidP="00E447B2">
      <w:pPr>
        <w:spacing w:after="0"/>
      </w:pPr>
      <w:r w:rsidRPr="00597212">
        <w:t xml:space="preserve">Es cierto que </w:t>
      </w:r>
      <w:r w:rsidR="0045345F">
        <w:t xml:space="preserve">los </w:t>
      </w:r>
      <w:r w:rsidRPr="00597212">
        <w:t xml:space="preserve">consumos no facturados </w:t>
      </w:r>
      <w:r w:rsidR="0045345F">
        <w:t xml:space="preserve">(ANR) </w:t>
      </w:r>
      <w:r w:rsidRPr="00597212">
        <w:t xml:space="preserve"> repercutirán en el </w:t>
      </w:r>
      <w:r w:rsidR="0045345F">
        <w:t>incremento del consumo real,  e</w:t>
      </w:r>
      <w:r w:rsidRPr="00597212">
        <w:t xml:space="preserve">s posible también que en algunas zonas haya previsión de instalación de agro industria con altos consumos, pero nos entran dudas de que se esté aplicando </w:t>
      </w:r>
      <w:r w:rsidR="00D651BE" w:rsidRPr="00597212">
        <w:rPr>
          <w:i/>
        </w:rPr>
        <w:t xml:space="preserve">la eficiencia y el consumo responsable, </w:t>
      </w:r>
      <w:r w:rsidR="00D651BE" w:rsidRPr="00597212">
        <w:t xml:space="preserve">cuando se plantean sistemáticamente incrementos de consumos para </w:t>
      </w:r>
      <w:r w:rsidRPr="00597212">
        <w:t>toda Navarra.</w:t>
      </w:r>
    </w:p>
    <w:p w:rsidR="00597212" w:rsidRPr="00597212" w:rsidRDefault="00CA6020" w:rsidP="00E447B2">
      <w:pPr>
        <w:spacing w:after="0"/>
      </w:pPr>
      <w:r w:rsidRPr="00597212">
        <w:t xml:space="preserve">Por poner un ejemplo. En la MCP, donde no hay problemas de ANR, se prevé un incremento del consumo industrial del 20% y del 10% del de Otros. Desde la aplicación del canon de saneamiento el consumo industrial ha bajado considerablemente y </w:t>
      </w:r>
      <w:r w:rsidR="00AE455A">
        <w:t>no tiene justificación</w:t>
      </w:r>
      <w:r w:rsidR="00D651BE" w:rsidRPr="00597212">
        <w:t xml:space="preserve"> incrementar</w:t>
      </w:r>
      <w:r w:rsidR="00C966C4" w:rsidRPr="00597212">
        <w:t xml:space="preserve"> el consum</w:t>
      </w:r>
      <w:r w:rsidR="008D7415">
        <w:t>o de riego de jardines y calles, sino todo lo contrario</w:t>
      </w:r>
      <w:r w:rsidR="00AE455A">
        <w:t>.</w:t>
      </w:r>
      <w:r w:rsidR="00C966C4" w:rsidRPr="00597212">
        <w:t xml:space="preserve"> </w:t>
      </w:r>
      <w:r w:rsidR="00D651BE" w:rsidRPr="00597212">
        <w:t>Nos sorprenden especialmente</w:t>
      </w:r>
      <w:r w:rsidR="00C966C4" w:rsidRPr="00597212">
        <w:t xml:space="preserve"> las elevadas dotaciones que se barajan en los proyectos de Montejurra para la Ribera de</w:t>
      </w:r>
      <w:r w:rsidR="00493A54" w:rsidRPr="00597212">
        <w:t xml:space="preserve"> Estella y </w:t>
      </w:r>
      <w:r w:rsidR="00C966C4" w:rsidRPr="00597212">
        <w:t xml:space="preserve"> en las propuestas para la Ribera Sur.</w:t>
      </w:r>
      <w:r w:rsidR="00597212" w:rsidRPr="00597212">
        <w:t xml:space="preserve"> </w:t>
      </w:r>
    </w:p>
    <w:p w:rsidR="00AE455A" w:rsidRDefault="00AE455A" w:rsidP="00E447B2">
      <w:pPr>
        <w:spacing w:after="0"/>
      </w:pPr>
    </w:p>
    <w:p w:rsidR="00CA6020" w:rsidRPr="00597212" w:rsidRDefault="00597212" w:rsidP="00E447B2">
      <w:pPr>
        <w:spacing w:after="0"/>
      </w:pPr>
      <w:r w:rsidRPr="00597212">
        <w:t xml:space="preserve">Para poder comparar entre zonas las previsiones de consumo hemos pasado los datos del cuadro de la </w:t>
      </w:r>
      <w:proofErr w:type="spellStart"/>
      <w:r w:rsidRPr="00597212">
        <w:t>pag</w:t>
      </w:r>
      <w:proofErr w:type="spellEnd"/>
      <w:r w:rsidRPr="00597212">
        <w:t>. 65 a las unidades de litro/ habitante y día y como se puede comprobar las previsiones de Montejurra y Ribera sur son muy elevadas no solo en la industria, sino también en la ANR</w:t>
      </w:r>
      <w:r w:rsidR="008D7415">
        <w:t xml:space="preserve">. En la MCP es muy elevado el consumo de otros (jardines, calles,…) </w:t>
      </w:r>
    </w:p>
    <w:p w:rsidR="00597212" w:rsidRDefault="00597212" w:rsidP="00E447B2">
      <w:pPr>
        <w:spacing w:after="0"/>
        <w:rPr>
          <w:sz w:val="24"/>
          <w:szCs w:val="24"/>
        </w:rPr>
      </w:pPr>
    </w:p>
    <w:tbl>
      <w:tblPr>
        <w:tblStyle w:val="Tablaconcuadrcula"/>
        <w:tblW w:w="9959" w:type="dxa"/>
        <w:tblInd w:w="-743" w:type="dxa"/>
        <w:tblLook w:val="04A0" w:firstRow="1" w:lastRow="0" w:firstColumn="1" w:lastColumn="0" w:noHBand="0" w:noVBand="1"/>
      </w:tblPr>
      <w:tblGrid>
        <w:gridCol w:w="2552"/>
        <w:gridCol w:w="851"/>
        <w:gridCol w:w="875"/>
        <w:gridCol w:w="983"/>
        <w:gridCol w:w="983"/>
        <w:gridCol w:w="986"/>
        <w:gridCol w:w="992"/>
        <w:gridCol w:w="754"/>
        <w:gridCol w:w="983"/>
      </w:tblGrid>
      <w:tr w:rsidR="00B45EAD" w:rsidRPr="009C6E11" w:rsidTr="00836963">
        <w:tc>
          <w:tcPr>
            <w:tcW w:w="9959" w:type="dxa"/>
            <w:gridSpan w:val="9"/>
            <w:shd w:val="clear" w:color="auto" w:fill="C6D9F1" w:themeFill="text2" w:themeFillTint="33"/>
            <w:vAlign w:val="center"/>
          </w:tcPr>
          <w:p w:rsidR="00B45EAD" w:rsidRPr="00F33081" w:rsidRDefault="00B45EAD" w:rsidP="00B45EAD">
            <w:pPr>
              <w:jc w:val="center"/>
              <w:rPr>
                <w:rFonts w:ascii="Calibri" w:eastAsia="Times New Roman" w:hAnsi="Calibri" w:cs="Calibri"/>
                <w:b/>
                <w:bCs/>
                <w:i/>
                <w:iCs/>
                <w:color w:val="000000"/>
                <w:sz w:val="20"/>
                <w:szCs w:val="20"/>
                <w:lang w:eastAsia="es-ES"/>
              </w:rPr>
            </w:pPr>
            <w:r>
              <w:rPr>
                <w:rFonts w:ascii="Calibri" w:eastAsia="Times New Roman" w:hAnsi="Calibri" w:cs="Calibri"/>
                <w:b/>
                <w:bCs/>
                <w:i/>
                <w:iCs/>
                <w:color w:val="000000"/>
                <w:sz w:val="20"/>
                <w:szCs w:val="20"/>
                <w:lang w:eastAsia="es-ES"/>
              </w:rPr>
              <w:t xml:space="preserve">PLAN DIRECTOR CICLO URBANO. PREVISION DE CONSUMOS 2030. </w:t>
            </w:r>
            <w:proofErr w:type="gramStart"/>
            <w:r>
              <w:rPr>
                <w:rFonts w:ascii="Calibri" w:eastAsia="Times New Roman" w:hAnsi="Calibri" w:cs="Calibri"/>
                <w:b/>
                <w:bCs/>
                <w:i/>
                <w:iCs/>
                <w:color w:val="000000"/>
                <w:sz w:val="20"/>
                <w:szCs w:val="20"/>
                <w:lang w:eastAsia="es-ES"/>
              </w:rPr>
              <w:t>litros/hab.día</w:t>
            </w:r>
            <w:proofErr w:type="gramEnd"/>
            <w:r>
              <w:rPr>
                <w:rFonts w:ascii="Calibri" w:eastAsia="Times New Roman" w:hAnsi="Calibri" w:cs="Calibri"/>
                <w:b/>
                <w:bCs/>
                <w:i/>
                <w:iCs/>
                <w:color w:val="000000"/>
                <w:sz w:val="20"/>
                <w:szCs w:val="20"/>
                <w:lang w:eastAsia="es-ES"/>
              </w:rPr>
              <w:t xml:space="preserve">. </w:t>
            </w:r>
          </w:p>
        </w:tc>
      </w:tr>
      <w:tr w:rsidR="00597212" w:rsidRPr="009C6E11" w:rsidTr="00C10E85">
        <w:tc>
          <w:tcPr>
            <w:tcW w:w="2552" w:type="dxa"/>
            <w:vMerge w:val="restart"/>
            <w:shd w:val="clear" w:color="auto" w:fill="C6D9F1" w:themeFill="text2" w:themeFillTint="33"/>
            <w:vAlign w:val="center"/>
          </w:tcPr>
          <w:p w:rsidR="00597212" w:rsidRPr="00F33081" w:rsidRDefault="00597212" w:rsidP="00C10E85">
            <w:pPr>
              <w:jc w:val="center"/>
              <w:rPr>
                <w:rFonts w:ascii="Calibri" w:eastAsia="Times New Roman" w:hAnsi="Calibri" w:cs="Calibri"/>
                <w:b/>
                <w:bCs/>
                <w:i/>
                <w:iCs/>
                <w:color w:val="000000"/>
                <w:sz w:val="20"/>
                <w:szCs w:val="20"/>
                <w:lang w:eastAsia="es-ES"/>
              </w:rPr>
            </w:pPr>
            <w:r w:rsidRPr="00F33081">
              <w:rPr>
                <w:rFonts w:ascii="Calibri" w:eastAsia="Times New Roman" w:hAnsi="Calibri" w:cs="Calibri"/>
                <w:b/>
                <w:bCs/>
                <w:i/>
                <w:iCs/>
                <w:color w:val="000000"/>
                <w:sz w:val="20"/>
                <w:szCs w:val="20"/>
                <w:lang w:eastAsia="es-ES"/>
              </w:rPr>
              <w:t>ZONA</w:t>
            </w:r>
          </w:p>
        </w:tc>
        <w:tc>
          <w:tcPr>
            <w:tcW w:w="851" w:type="dxa"/>
            <w:vMerge w:val="restart"/>
            <w:shd w:val="clear" w:color="auto" w:fill="C6D9F1" w:themeFill="text2" w:themeFillTint="33"/>
            <w:vAlign w:val="center"/>
          </w:tcPr>
          <w:p w:rsidR="00597212" w:rsidRPr="00F33081" w:rsidRDefault="00597212" w:rsidP="00C10E85">
            <w:pPr>
              <w:jc w:val="center"/>
              <w:rPr>
                <w:rFonts w:ascii="Calibri" w:eastAsia="Times New Roman" w:hAnsi="Calibri" w:cs="Calibri"/>
                <w:b/>
                <w:bCs/>
                <w:i/>
                <w:iCs/>
                <w:color w:val="000000"/>
                <w:sz w:val="20"/>
                <w:szCs w:val="20"/>
                <w:lang w:eastAsia="es-ES"/>
              </w:rPr>
            </w:pPr>
            <w:r w:rsidRPr="00F33081">
              <w:rPr>
                <w:rFonts w:ascii="Calibri" w:eastAsia="Times New Roman" w:hAnsi="Calibri" w:cs="Calibri"/>
                <w:b/>
                <w:bCs/>
                <w:i/>
                <w:iCs/>
                <w:color w:val="000000"/>
                <w:sz w:val="20"/>
                <w:szCs w:val="20"/>
                <w:lang w:eastAsia="es-ES"/>
              </w:rPr>
              <w:t xml:space="preserve">% </w:t>
            </w:r>
            <w:proofErr w:type="spellStart"/>
            <w:r w:rsidRPr="00F33081">
              <w:rPr>
                <w:rFonts w:ascii="Calibri" w:eastAsia="Times New Roman" w:hAnsi="Calibri" w:cs="Calibri"/>
                <w:b/>
                <w:bCs/>
                <w:i/>
                <w:iCs/>
                <w:color w:val="000000"/>
                <w:sz w:val="20"/>
                <w:szCs w:val="20"/>
                <w:lang w:eastAsia="es-ES"/>
              </w:rPr>
              <w:t>hab</w:t>
            </w:r>
            <w:proofErr w:type="spellEnd"/>
          </w:p>
        </w:tc>
        <w:tc>
          <w:tcPr>
            <w:tcW w:w="875" w:type="dxa"/>
            <w:vMerge w:val="restart"/>
            <w:shd w:val="clear" w:color="auto" w:fill="C6D9F1" w:themeFill="text2" w:themeFillTint="33"/>
            <w:vAlign w:val="center"/>
          </w:tcPr>
          <w:p w:rsidR="00597212" w:rsidRPr="00F33081" w:rsidRDefault="00597212" w:rsidP="00C10E85">
            <w:pPr>
              <w:jc w:val="center"/>
              <w:rPr>
                <w:rFonts w:ascii="Calibri" w:eastAsia="Times New Roman" w:hAnsi="Calibri" w:cs="Calibri"/>
                <w:b/>
                <w:bCs/>
                <w:i/>
                <w:iCs/>
                <w:color w:val="000000"/>
                <w:sz w:val="20"/>
                <w:szCs w:val="20"/>
                <w:lang w:eastAsia="es-ES"/>
              </w:rPr>
            </w:pPr>
            <w:proofErr w:type="spellStart"/>
            <w:r w:rsidRPr="00F33081">
              <w:rPr>
                <w:rFonts w:ascii="Calibri" w:eastAsia="Times New Roman" w:hAnsi="Calibri" w:cs="Calibri"/>
                <w:b/>
                <w:bCs/>
                <w:i/>
                <w:iCs/>
                <w:color w:val="000000"/>
                <w:sz w:val="20"/>
                <w:szCs w:val="20"/>
                <w:lang w:eastAsia="es-ES"/>
              </w:rPr>
              <w:t>hab</w:t>
            </w:r>
            <w:proofErr w:type="spellEnd"/>
          </w:p>
        </w:tc>
        <w:tc>
          <w:tcPr>
            <w:tcW w:w="983" w:type="dxa"/>
            <w:shd w:val="clear" w:color="auto" w:fill="C6D9F1" w:themeFill="text2" w:themeFillTint="33"/>
          </w:tcPr>
          <w:p w:rsidR="00597212" w:rsidRPr="009C6E11" w:rsidRDefault="00597212" w:rsidP="00C10E85">
            <w:pPr>
              <w:rPr>
                <w:b/>
                <w:i/>
                <w:sz w:val="20"/>
                <w:szCs w:val="20"/>
              </w:rPr>
            </w:pPr>
            <w:proofErr w:type="spellStart"/>
            <w:r w:rsidRPr="009C6E11">
              <w:rPr>
                <w:b/>
                <w:i/>
                <w:sz w:val="20"/>
                <w:szCs w:val="20"/>
              </w:rPr>
              <w:t>domest</w:t>
            </w:r>
            <w:proofErr w:type="spellEnd"/>
          </w:p>
        </w:tc>
        <w:tc>
          <w:tcPr>
            <w:tcW w:w="983" w:type="dxa"/>
            <w:shd w:val="clear" w:color="auto" w:fill="C6D9F1" w:themeFill="text2" w:themeFillTint="33"/>
            <w:vAlign w:val="bottom"/>
          </w:tcPr>
          <w:p w:rsidR="00597212" w:rsidRPr="00F33081" w:rsidRDefault="00597212" w:rsidP="00C10E85">
            <w:pPr>
              <w:jc w:val="center"/>
              <w:rPr>
                <w:rFonts w:ascii="Calibri" w:eastAsia="Times New Roman" w:hAnsi="Calibri" w:cs="Calibri"/>
                <w:b/>
                <w:bCs/>
                <w:i/>
                <w:iCs/>
                <w:color w:val="000000"/>
                <w:sz w:val="20"/>
                <w:szCs w:val="20"/>
                <w:lang w:eastAsia="es-ES"/>
              </w:rPr>
            </w:pPr>
            <w:proofErr w:type="spellStart"/>
            <w:r w:rsidRPr="00F33081">
              <w:rPr>
                <w:rFonts w:ascii="Calibri" w:eastAsia="Times New Roman" w:hAnsi="Calibri" w:cs="Calibri"/>
                <w:b/>
                <w:bCs/>
                <w:i/>
                <w:iCs/>
                <w:color w:val="000000"/>
                <w:sz w:val="20"/>
                <w:szCs w:val="20"/>
                <w:lang w:eastAsia="es-ES"/>
              </w:rPr>
              <w:t>indust</w:t>
            </w:r>
            <w:proofErr w:type="spellEnd"/>
          </w:p>
        </w:tc>
        <w:tc>
          <w:tcPr>
            <w:tcW w:w="986" w:type="dxa"/>
            <w:shd w:val="clear" w:color="auto" w:fill="C6D9F1" w:themeFill="text2" w:themeFillTint="33"/>
            <w:vAlign w:val="bottom"/>
          </w:tcPr>
          <w:p w:rsidR="00597212" w:rsidRPr="00F33081" w:rsidRDefault="00597212" w:rsidP="00C10E85">
            <w:pPr>
              <w:jc w:val="center"/>
              <w:rPr>
                <w:rFonts w:ascii="Calibri" w:eastAsia="Times New Roman" w:hAnsi="Calibri" w:cs="Calibri"/>
                <w:b/>
                <w:bCs/>
                <w:i/>
                <w:iCs/>
                <w:color w:val="000000"/>
                <w:sz w:val="20"/>
                <w:szCs w:val="20"/>
                <w:lang w:eastAsia="es-ES"/>
              </w:rPr>
            </w:pPr>
            <w:r w:rsidRPr="00F33081">
              <w:rPr>
                <w:rFonts w:ascii="Calibri" w:eastAsia="Times New Roman" w:hAnsi="Calibri" w:cs="Calibri"/>
                <w:b/>
                <w:bCs/>
                <w:i/>
                <w:iCs/>
                <w:color w:val="000000"/>
                <w:sz w:val="20"/>
                <w:szCs w:val="20"/>
                <w:lang w:eastAsia="es-ES"/>
              </w:rPr>
              <w:t>otros</w:t>
            </w:r>
          </w:p>
        </w:tc>
        <w:tc>
          <w:tcPr>
            <w:tcW w:w="992" w:type="dxa"/>
            <w:shd w:val="clear" w:color="auto" w:fill="C6D9F1" w:themeFill="text2" w:themeFillTint="33"/>
            <w:vAlign w:val="bottom"/>
          </w:tcPr>
          <w:p w:rsidR="00597212" w:rsidRPr="00F33081" w:rsidRDefault="00597212" w:rsidP="00C10E85">
            <w:pPr>
              <w:jc w:val="center"/>
              <w:rPr>
                <w:rFonts w:ascii="Calibri" w:eastAsia="Times New Roman" w:hAnsi="Calibri" w:cs="Calibri"/>
                <w:b/>
                <w:bCs/>
                <w:i/>
                <w:iCs/>
                <w:color w:val="000000"/>
                <w:sz w:val="20"/>
                <w:szCs w:val="20"/>
                <w:lang w:eastAsia="es-ES"/>
              </w:rPr>
            </w:pPr>
            <w:r w:rsidRPr="00F33081">
              <w:rPr>
                <w:rFonts w:ascii="Calibri" w:eastAsia="Times New Roman" w:hAnsi="Calibri" w:cs="Calibri"/>
                <w:b/>
                <w:bCs/>
                <w:i/>
                <w:iCs/>
                <w:color w:val="000000"/>
                <w:sz w:val="20"/>
                <w:szCs w:val="20"/>
                <w:lang w:eastAsia="es-ES"/>
              </w:rPr>
              <w:t>ANR</w:t>
            </w:r>
          </w:p>
        </w:tc>
        <w:tc>
          <w:tcPr>
            <w:tcW w:w="754" w:type="dxa"/>
            <w:shd w:val="clear" w:color="auto" w:fill="C6D9F1" w:themeFill="text2" w:themeFillTint="33"/>
          </w:tcPr>
          <w:p w:rsidR="00597212" w:rsidRPr="009C6E11" w:rsidRDefault="00597212" w:rsidP="00C10E85">
            <w:pPr>
              <w:rPr>
                <w:sz w:val="20"/>
                <w:szCs w:val="20"/>
              </w:rPr>
            </w:pPr>
            <w:r w:rsidRPr="00F33081">
              <w:rPr>
                <w:rFonts w:ascii="Calibri" w:eastAsia="Times New Roman" w:hAnsi="Calibri" w:cs="Calibri"/>
                <w:b/>
                <w:bCs/>
                <w:i/>
                <w:iCs/>
                <w:color w:val="000000"/>
                <w:sz w:val="20"/>
                <w:szCs w:val="20"/>
                <w:lang w:eastAsia="es-ES"/>
              </w:rPr>
              <w:t>TOTAL</w:t>
            </w:r>
          </w:p>
        </w:tc>
        <w:tc>
          <w:tcPr>
            <w:tcW w:w="983" w:type="dxa"/>
            <w:shd w:val="clear" w:color="auto" w:fill="C6D9F1" w:themeFill="text2" w:themeFillTint="33"/>
          </w:tcPr>
          <w:p w:rsidR="00597212" w:rsidRPr="009C6E11" w:rsidRDefault="00597212" w:rsidP="00C10E85">
            <w:pPr>
              <w:rPr>
                <w:sz w:val="20"/>
                <w:szCs w:val="20"/>
              </w:rPr>
            </w:pPr>
            <w:r w:rsidRPr="00F33081">
              <w:rPr>
                <w:rFonts w:ascii="Calibri" w:eastAsia="Times New Roman" w:hAnsi="Calibri" w:cs="Calibri"/>
                <w:b/>
                <w:bCs/>
                <w:i/>
                <w:iCs/>
                <w:color w:val="000000"/>
                <w:sz w:val="20"/>
                <w:szCs w:val="20"/>
                <w:lang w:eastAsia="es-ES"/>
              </w:rPr>
              <w:t>TOTAL</w:t>
            </w:r>
          </w:p>
        </w:tc>
      </w:tr>
      <w:tr w:rsidR="00597212" w:rsidRPr="009C6E11" w:rsidTr="00C10E85">
        <w:tc>
          <w:tcPr>
            <w:tcW w:w="2552" w:type="dxa"/>
            <w:vMerge/>
            <w:shd w:val="clear" w:color="auto" w:fill="C6D9F1" w:themeFill="text2" w:themeFillTint="33"/>
            <w:vAlign w:val="center"/>
          </w:tcPr>
          <w:p w:rsidR="00597212" w:rsidRPr="00F33081" w:rsidRDefault="00597212" w:rsidP="00C10E85">
            <w:pPr>
              <w:rPr>
                <w:rFonts w:ascii="Calibri" w:eastAsia="Times New Roman" w:hAnsi="Calibri" w:cs="Calibri"/>
                <w:b/>
                <w:bCs/>
                <w:i/>
                <w:iCs/>
                <w:color w:val="000000"/>
                <w:sz w:val="20"/>
                <w:szCs w:val="20"/>
                <w:lang w:eastAsia="es-ES"/>
              </w:rPr>
            </w:pPr>
          </w:p>
        </w:tc>
        <w:tc>
          <w:tcPr>
            <w:tcW w:w="851" w:type="dxa"/>
            <w:vMerge/>
            <w:shd w:val="clear" w:color="auto" w:fill="C6D9F1" w:themeFill="text2" w:themeFillTint="33"/>
            <w:vAlign w:val="center"/>
          </w:tcPr>
          <w:p w:rsidR="00597212" w:rsidRPr="00F33081" w:rsidRDefault="00597212" w:rsidP="00C10E85">
            <w:pPr>
              <w:rPr>
                <w:rFonts w:ascii="Calibri" w:eastAsia="Times New Roman" w:hAnsi="Calibri" w:cs="Calibri"/>
                <w:b/>
                <w:bCs/>
                <w:i/>
                <w:iCs/>
                <w:color w:val="000000"/>
                <w:sz w:val="20"/>
                <w:szCs w:val="20"/>
                <w:lang w:eastAsia="es-ES"/>
              </w:rPr>
            </w:pPr>
          </w:p>
        </w:tc>
        <w:tc>
          <w:tcPr>
            <w:tcW w:w="875" w:type="dxa"/>
            <w:vMerge/>
            <w:shd w:val="clear" w:color="auto" w:fill="C6D9F1" w:themeFill="text2" w:themeFillTint="33"/>
            <w:vAlign w:val="center"/>
          </w:tcPr>
          <w:p w:rsidR="00597212" w:rsidRPr="00F33081" w:rsidRDefault="00597212" w:rsidP="00C10E85">
            <w:pPr>
              <w:rPr>
                <w:rFonts w:ascii="Calibri" w:eastAsia="Times New Roman" w:hAnsi="Calibri" w:cs="Calibri"/>
                <w:b/>
                <w:bCs/>
                <w:i/>
                <w:iCs/>
                <w:color w:val="000000"/>
                <w:sz w:val="20"/>
                <w:szCs w:val="20"/>
                <w:lang w:eastAsia="es-ES"/>
              </w:rPr>
            </w:pPr>
          </w:p>
        </w:tc>
        <w:tc>
          <w:tcPr>
            <w:tcW w:w="983" w:type="dxa"/>
            <w:shd w:val="clear" w:color="auto" w:fill="C6D9F1" w:themeFill="text2" w:themeFillTint="33"/>
            <w:vAlign w:val="bottom"/>
          </w:tcPr>
          <w:p w:rsidR="00597212" w:rsidRPr="00F33081" w:rsidRDefault="00597212" w:rsidP="00C10E85">
            <w:pPr>
              <w:jc w:val="center"/>
              <w:rPr>
                <w:rFonts w:ascii="Calibri" w:eastAsia="Times New Roman" w:hAnsi="Calibri" w:cs="Calibri"/>
                <w:b/>
                <w:bCs/>
                <w:i/>
                <w:iCs/>
                <w:color w:val="000000"/>
                <w:sz w:val="20"/>
                <w:szCs w:val="20"/>
                <w:lang w:eastAsia="es-ES"/>
              </w:rPr>
            </w:pPr>
            <w:r w:rsidRPr="00F33081">
              <w:rPr>
                <w:rFonts w:ascii="Calibri" w:eastAsia="Times New Roman" w:hAnsi="Calibri" w:cs="Calibri"/>
                <w:b/>
                <w:bCs/>
                <w:i/>
                <w:iCs/>
                <w:color w:val="000000"/>
                <w:sz w:val="20"/>
                <w:szCs w:val="20"/>
                <w:lang w:eastAsia="es-ES"/>
              </w:rPr>
              <w:t>l/hab.dia</w:t>
            </w:r>
          </w:p>
        </w:tc>
        <w:tc>
          <w:tcPr>
            <w:tcW w:w="983" w:type="dxa"/>
            <w:shd w:val="clear" w:color="auto" w:fill="C6D9F1" w:themeFill="text2" w:themeFillTint="33"/>
            <w:vAlign w:val="bottom"/>
          </w:tcPr>
          <w:p w:rsidR="00597212" w:rsidRPr="00F33081" w:rsidRDefault="00597212" w:rsidP="00C10E85">
            <w:pPr>
              <w:jc w:val="center"/>
              <w:rPr>
                <w:rFonts w:ascii="Calibri" w:eastAsia="Times New Roman" w:hAnsi="Calibri" w:cs="Calibri"/>
                <w:b/>
                <w:bCs/>
                <w:i/>
                <w:iCs/>
                <w:color w:val="000000"/>
                <w:sz w:val="20"/>
                <w:szCs w:val="20"/>
                <w:lang w:eastAsia="es-ES"/>
              </w:rPr>
            </w:pPr>
            <w:r w:rsidRPr="00F33081">
              <w:rPr>
                <w:rFonts w:ascii="Calibri" w:eastAsia="Times New Roman" w:hAnsi="Calibri" w:cs="Calibri"/>
                <w:b/>
                <w:bCs/>
                <w:i/>
                <w:iCs/>
                <w:color w:val="000000"/>
                <w:sz w:val="20"/>
                <w:szCs w:val="20"/>
                <w:lang w:eastAsia="es-ES"/>
              </w:rPr>
              <w:t>l/hab.dia</w:t>
            </w:r>
          </w:p>
        </w:tc>
        <w:tc>
          <w:tcPr>
            <w:tcW w:w="986" w:type="dxa"/>
            <w:shd w:val="clear" w:color="auto" w:fill="C6D9F1" w:themeFill="text2" w:themeFillTint="33"/>
            <w:vAlign w:val="bottom"/>
          </w:tcPr>
          <w:p w:rsidR="00597212" w:rsidRPr="00F33081" w:rsidRDefault="00597212" w:rsidP="00C10E85">
            <w:pPr>
              <w:jc w:val="center"/>
              <w:rPr>
                <w:rFonts w:ascii="Calibri" w:eastAsia="Times New Roman" w:hAnsi="Calibri" w:cs="Calibri"/>
                <w:b/>
                <w:bCs/>
                <w:i/>
                <w:iCs/>
                <w:color w:val="000000"/>
                <w:sz w:val="20"/>
                <w:szCs w:val="20"/>
                <w:lang w:eastAsia="es-ES"/>
              </w:rPr>
            </w:pPr>
            <w:r w:rsidRPr="00F33081">
              <w:rPr>
                <w:rFonts w:ascii="Calibri" w:eastAsia="Times New Roman" w:hAnsi="Calibri" w:cs="Calibri"/>
                <w:b/>
                <w:bCs/>
                <w:i/>
                <w:iCs/>
                <w:color w:val="000000"/>
                <w:sz w:val="20"/>
                <w:szCs w:val="20"/>
                <w:lang w:eastAsia="es-ES"/>
              </w:rPr>
              <w:t>l/hab.dia</w:t>
            </w:r>
          </w:p>
        </w:tc>
        <w:tc>
          <w:tcPr>
            <w:tcW w:w="992" w:type="dxa"/>
            <w:shd w:val="clear" w:color="auto" w:fill="C6D9F1" w:themeFill="text2" w:themeFillTint="33"/>
            <w:vAlign w:val="bottom"/>
          </w:tcPr>
          <w:p w:rsidR="00597212" w:rsidRPr="00F33081" w:rsidRDefault="00597212" w:rsidP="00C10E85">
            <w:pPr>
              <w:jc w:val="center"/>
              <w:rPr>
                <w:rFonts w:ascii="Calibri" w:eastAsia="Times New Roman" w:hAnsi="Calibri" w:cs="Calibri"/>
                <w:b/>
                <w:bCs/>
                <w:i/>
                <w:iCs/>
                <w:color w:val="000000"/>
                <w:sz w:val="20"/>
                <w:szCs w:val="20"/>
                <w:lang w:eastAsia="es-ES"/>
              </w:rPr>
            </w:pPr>
            <w:r w:rsidRPr="00F33081">
              <w:rPr>
                <w:rFonts w:ascii="Calibri" w:eastAsia="Times New Roman" w:hAnsi="Calibri" w:cs="Calibri"/>
                <w:b/>
                <w:bCs/>
                <w:i/>
                <w:iCs/>
                <w:color w:val="000000"/>
                <w:sz w:val="20"/>
                <w:szCs w:val="20"/>
                <w:lang w:eastAsia="es-ES"/>
              </w:rPr>
              <w:t>l/hab.dia</w:t>
            </w:r>
          </w:p>
        </w:tc>
        <w:tc>
          <w:tcPr>
            <w:tcW w:w="754" w:type="dxa"/>
            <w:shd w:val="clear" w:color="auto" w:fill="C6D9F1" w:themeFill="text2" w:themeFillTint="33"/>
          </w:tcPr>
          <w:p w:rsidR="00597212" w:rsidRPr="009C6E11" w:rsidRDefault="00597212" w:rsidP="00C10E85">
            <w:pPr>
              <w:rPr>
                <w:b/>
                <w:i/>
                <w:sz w:val="20"/>
                <w:szCs w:val="20"/>
              </w:rPr>
            </w:pPr>
            <w:r w:rsidRPr="009C6E11">
              <w:rPr>
                <w:b/>
                <w:i/>
                <w:sz w:val="20"/>
                <w:szCs w:val="20"/>
              </w:rPr>
              <w:t>Hm3</w:t>
            </w:r>
          </w:p>
        </w:tc>
        <w:tc>
          <w:tcPr>
            <w:tcW w:w="983" w:type="dxa"/>
            <w:shd w:val="clear" w:color="auto" w:fill="C6D9F1" w:themeFill="text2" w:themeFillTint="33"/>
          </w:tcPr>
          <w:p w:rsidR="00597212" w:rsidRPr="009C6E11" w:rsidRDefault="00597212" w:rsidP="00C10E85">
            <w:pPr>
              <w:rPr>
                <w:sz w:val="20"/>
                <w:szCs w:val="20"/>
              </w:rPr>
            </w:pPr>
            <w:r w:rsidRPr="00F33081">
              <w:rPr>
                <w:rFonts w:ascii="Calibri" w:eastAsia="Times New Roman" w:hAnsi="Calibri" w:cs="Calibri"/>
                <w:b/>
                <w:bCs/>
                <w:i/>
                <w:iCs/>
                <w:color w:val="000000"/>
                <w:sz w:val="20"/>
                <w:szCs w:val="20"/>
                <w:lang w:eastAsia="es-ES"/>
              </w:rPr>
              <w:t>l/hab.dia</w:t>
            </w:r>
          </w:p>
        </w:tc>
      </w:tr>
      <w:tr w:rsidR="00597212" w:rsidRPr="00F33081" w:rsidTr="00C10E85">
        <w:tc>
          <w:tcPr>
            <w:tcW w:w="2552" w:type="dxa"/>
            <w:vAlign w:val="bottom"/>
          </w:tcPr>
          <w:p w:rsidR="00597212" w:rsidRPr="00F33081" w:rsidRDefault="00597212" w:rsidP="00C10E85">
            <w:pPr>
              <w:rPr>
                <w:rFonts w:ascii="Calibri" w:eastAsia="Times New Roman" w:hAnsi="Calibri" w:cs="Calibri"/>
                <w:b/>
                <w:color w:val="000000"/>
                <w:sz w:val="20"/>
                <w:szCs w:val="20"/>
                <w:lang w:eastAsia="es-ES"/>
              </w:rPr>
            </w:pPr>
            <w:r w:rsidRPr="00F33081">
              <w:rPr>
                <w:rFonts w:ascii="Calibri" w:eastAsia="Times New Roman" w:hAnsi="Calibri" w:cs="Calibri"/>
                <w:b/>
                <w:color w:val="000000"/>
                <w:sz w:val="20"/>
                <w:szCs w:val="20"/>
                <w:lang w:eastAsia="es-ES"/>
              </w:rPr>
              <w:t>6. Comarca Pamplona 2015</w:t>
            </w:r>
          </w:p>
        </w:tc>
        <w:tc>
          <w:tcPr>
            <w:tcW w:w="851"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55,8</w:t>
            </w:r>
          </w:p>
        </w:tc>
        <w:tc>
          <w:tcPr>
            <w:tcW w:w="875" w:type="dxa"/>
            <w:vAlign w:val="bottom"/>
          </w:tcPr>
          <w:p w:rsidR="00597212" w:rsidRPr="00F33081" w:rsidRDefault="00597212" w:rsidP="00C10E85">
            <w:pPr>
              <w:jc w:val="right"/>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357</w:t>
            </w:r>
            <w:r w:rsidRPr="009C6E11">
              <w:rPr>
                <w:rFonts w:ascii="Calibri" w:eastAsia="Times New Roman" w:hAnsi="Calibri" w:cs="Calibri"/>
                <w:color w:val="000000"/>
                <w:sz w:val="20"/>
                <w:szCs w:val="20"/>
                <w:lang w:eastAsia="es-ES"/>
              </w:rPr>
              <w:t>.</w:t>
            </w:r>
            <w:r w:rsidRPr="00F33081">
              <w:rPr>
                <w:rFonts w:ascii="Calibri" w:eastAsia="Times New Roman" w:hAnsi="Calibri" w:cs="Calibri"/>
                <w:color w:val="000000"/>
                <w:sz w:val="20"/>
                <w:szCs w:val="20"/>
                <w:lang w:eastAsia="es-ES"/>
              </w:rPr>
              <w:t>386</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115,37</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47,53</w:t>
            </w:r>
          </w:p>
        </w:tc>
        <w:tc>
          <w:tcPr>
            <w:tcW w:w="986" w:type="dxa"/>
            <w:vAlign w:val="bottom"/>
          </w:tcPr>
          <w:p w:rsidR="00597212" w:rsidRPr="0045345F" w:rsidRDefault="00597212" w:rsidP="00C10E85">
            <w:pPr>
              <w:jc w:val="center"/>
              <w:rPr>
                <w:rFonts w:ascii="Calibri" w:eastAsia="Times New Roman" w:hAnsi="Calibri" w:cs="Calibri"/>
                <w:b/>
                <w:i/>
                <w:color w:val="FF0000"/>
                <w:sz w:val="20"/>
                <w:szCs w:val="20"/>
                <w:u w:val="single"/>
                <w:lang w:eastAsia="es-ES"/>
              </w:rPr>
            </w:pPr>
            <w:r w:rsidRPr="0045345F">
              <w:rPr>
                <w:rFonts w:ascii="Calibri" w:eastAsia="Times New Roman" w:hAnsi="Calibri" w:cs="Calibri"/>
                <w:b/>
                <w:i/>
                <w:color w:val="FF0000"/>
                <w:sz w:val="20"/>
                <w:szCs w:val="20"/>
                <w:u w:val="single"/>
                <w:lang w:eastAsia="es-ES"/>
              </w:rPr>
              <w:t>46,76</w:t>
            </w:r>
          </w:p>
        </w:tc>
        <w:tc>
          <w:tcPr>
            <w:tcW w:w="992"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31,70</w:t>
            </w:r>
          </w:p>
        </w:tc>
        <w:tc>
          <w:tcPr>
            <w:tcW w:w="754" w:type="dxa"/>
            <w:vAlign w:val="bottom"/>
          </w:tcPr>
          <w:p w:rsidR="00597212" w:rsidRPr="009C6E11" w:rsidRDefault="00597212" w:rsidP="00C10E85">
            <w:pPr>
              <w:jc w:val="center"/>
              <w:rPr>
                <w:rFonts w:ascii="Calibri" w:hAnsi="Calibri" w:cs="Calibri"/>
                <w:color w:val="000000"/>
                <w:sz w:val="20"/>
                <w:szCs w:val="20"/>
              </w:rPr>
            </w:pPr>
            <w:r w:rsidRPr="009C6E11">
              <w:rPr>
                <w:rFonts w:ascii="Calibri" w:hAnsi="Calibri" w:cs="Calibri"/>
                <w:color w:val="000000"/>
                <w:sz w:val="20"/>
                <w:szCs w:val="20"/>
              </w:rPr>
              <w:t>31,49</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241,36</w:t>
            </w:r>
          </w:p>
        </w:tc>
      </w:tr>
      <w:tr w:rsidR="00597212" w:rsidRPr="00F33081" w:rsidTr="00C10E85">
        <w:tc>
          <w:tcPr>
            <w:tcW w:w="2552" w:type="dxa"/>
            <w:vAlign w:val="bottom"/>
          </w:tcPr>
          <w:p w:rsidR="00597212" w:rsidRPr="00F33081" w:rsidRDefault="00597212" w:rsidP="00C10E85">
            <w:pPr>
              <w:rPr>
                <w:rFonts w:ascii="Calibri" w:eastAsia="Times New Roman" w:hAnsi="Calibri" w:cs="Calibri"/>
                <w:b/>
                <w:color w:val="000000"/>
                <w:sz w:val="20"/>
                <w:szCs w:val="20"/>
                <w:lang w:eastAsia="es-ES"/>
              </w:rPr>
            </w:pPr>
            <w:r w:rsidRPr="00F33081">
              <w:rPr>
                <w:rFonts w:ascii="Calibri" w:eastAsia="Times New Roman" w:hAnsi="Calibri" w:cs="Calibri"/>
                <w:b/>
                <w:color w:val="000000"/>
                <w:sz w:val="20"/>
                <w:szCs w:val="20"/>
                <w:lang w:eastAsia="es-ES"/>
              </w:rPr>
              <w:t>6. comarca Pamplona 2030</w:t>
            </w:r>
          </w:p>
        </w:tc>
        <w:tc>
          <w:tcPr>
            <w:tcW w:w="851"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55,8</w:t>
            </w:r>
          </w:p>
        </w:tc>
        <w:tc>
          <w:tcPr>
            <w:tcW w:w="875" w:type="dxa"/>
            <w:vAlign w:val="bottom"/>
          </w:tcPr>
          <w:p w:rsidR="00597212" w:rsidRPr="00F33081" w:rsidRDefault="00597212" w:rsidP="00C10E85">
            <w:pPr>
              <w:jc w:val="right"/>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357</w:t>
            </w:r>
            <w:r w:rsidRPr="009C6E11">
              <w:rPr>
                <w:rFonts w:ascii="Calibri" w:eastAsia="Times New Roman" w:hAnsi="Calibri" w:cs="Calibri"/>
                <w:color w:val="000000"/>
                <w:sz w:val="20"/>
                <w:szCs w:val="20"/>
                <w:lang w:eastAsia="es-ES"/>
              </w:rPr>
              <w:t>.</w:t>
            </w:r>
            <w:r w:rsidRPr="00F33081">
              <w:rPr>
                <w:rFonts w:ascii="Calibri" w:eastAsia="Times New Roman" w:hAnsi="Calibri" w:cs="Calibri"/>
                <w:color w:val="000000"/>
                <w:sz w:val="20"/>
                <w:szCs w:val="20"/>
                <w:lang w:eastAsia="es-ES"/>
              </w:rPr>
              <w:t>386</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117,67</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57,04</w:t>
            </w:r>
          </w:p>
        </w:tc>
        <w:tc>
          <w:tcPr>
            <w:tcW w:w="986" w:type="dxa"/>
            <w:vAlign w:val="bottom"/>
          </w:tcPr>
          <w:p w:rsidR="00597212" w:rsidRPr="0045345F" w:rsidRDefault="00597212" w:rsidP="00C10E85">
            <w:pPr>
              <w:jc w:val="center"/>
              <w:rPr>
                <w:rFonts w:ascii="Calibri" w:eastAsia="Times New Roman" w:hAnsi="Calibri" w:cs="Calibri"/>
                <w:b/>
                <w:i/>
                <w:color w:val="FF0000"/>
                <w:sz w:val="20"/>
                <w:szCs w:val="20"/>
                <w:u w:val="single"/>
                <w:lang w:eastAsia="es-ES"/>
              </w:rPr>
            </w:pPr>
            <w:r w:rsidRPr="0045345F">
              <w:rPr>
                <w:rFonts w:ascii="Calibri" w:eastAsia="Times New Roman" w:hAnsi="Calibri" w:cs="Calibri"/>
                <w:b/>
                <w:i/>
                <w:color w:val="FF0000"/>
                <w:sz w:val="20"/>
                <w:szCs w:val="20"/>
                <w:u w:val="single"/>
                <w:lang w:eastAsia="es-ES"/>
              </w:rPr>
              <w:t>51,44</w:t>
            </w:r>
          </w:p>
        </w:tc>
        <w:tc>
          <w:tcPr>
            <w:tcW w:w="992"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30,67</w:t>
            </w:r>
          </w:p>
        </w:tc>
        <w:tc>
          <w:tcPr>
            <w:tcW w:w="754" w:type="dxa"/>
            <w:vAlign w:val="bottom"/>
          </w:tcPr>
          <w:p w:rsidR="00597212" w:rsidRPr="009C6E11" w:rsidRDefault="00597212" w:rsidP="00C10E85">
            <w:pPr>
              <w:jc w:val="center"/>
              <w:rPr>
                <w:rFonts w:ascii="Calibri" w:hAnsi="Calibri" w:cs="Calibri"/>
                <w:color w:val="000000"/>
                <w:sz w:val="20"/>
                <w:szCs w:val="20"/>
              </w:rPr>
            </w:pPr>
            <w:r w:rsidRPr="009C6E11">
              <w:rPr>
                <w:rFonts w:ascii="Calibri" w:hAnsi="Calibri" w:cs="Calibri"/>
                <w:color w:val="000000"/>
                <w:sz w:val="20"/>
                <w:szCs w:val="20"/>
              </w:rPr>
              <w:t>33,50</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256,82</w:t>
            </w:r>
          </w:p>
        </w:tc>
      </w:tr>
      <w:tr w:rsidR="00597212" w:rsidRPr="00F33081" w:rsidTr="00C10E85">
        <w:tc>
          <w:tcPr>
            <w:tcW w:w="2552" w:type="dxa"/>
            <w:vAlign w:val="bottom"/>
          </w:tcPr>
          <w:p w:rsidR="00597212" w:rsidRPr="00F33081" w:rsidRDefault="00597212" w:rsidP="00C10E85">
            <w:pPr>
              <w:rPr>
                <w:rFonts w:ascii="Calibri" w:eastAsia="Times New Roman" w:hAnsi="Calibri" w:cs="Calibri"/>
                <w:b/>
                <w:color w:val="000000"/>
                <w:sz w:val="20"/>
                <w:szCs w:val="20"/>
                <w:lang w:eastAsia="es-ES"/>
              </w:rPr>
            </w:pPr>
            <w:r w:rsidRPr="00F33081">
              <w:rPr>
                <w:rFonts w:ascii="Calibri" w:eastAsia="Times New Roman" w:hAnsi="Calibri" w:cs="Calibri"/>
                <w:b/>
                <w:color w:val="000000"/>
                <w:sz w:val="20"/>
                <w:szCs w:val="20"/>
                <w:lang w:eastAsia="es-ES"/>
              </w:rPr>
              <w:t>12. Montejurra 2030</w:t>
            </w:r>
          </w:p>
        </w:tc>
        <w:tc>
          <w:tcPr>
            <w:tcW w:w="851"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9,7</w:t>
            </w:r>
          </w:p>
        </w:tc>
        <w:tc>
          <w:tcPr>
            <w:tcW w:w="875" w:type="dxa"/>
            <w:vAlign w:val="bottom"/>
          </w:tcPr>
          <w:p w:rsidR="00597212" w:rsidRPr="00F33081" w:rsidRDefault="00597212" w:rsidP="00C10E85">
            <w:pPr>
              <w:jc w:val="right"/>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62</w:t>
            </w:r>
            <w:r w:rsidRPr="009C6E11">
              <w:rPr>
                <w:rFonts w:ascii="Calibri" w:eastAsia="Times New Roman" w:hAnsi="Calibri" w:cs="Calibri"/>
                <w:color w:val="000000"/>
                <w:sz w:val="20"/>
                <w:szCs w:val="20"/>
                <w:lang w:eastAsia="es-ES"/>
              </w:rPr>
              <w:t>.</w:t>
            </w:r>
            <w:r w:rsidRPr="00F33081">
              <w:rPr>
                <w:rFonts w:ascii="Calibri" w:eastAsia="Times New Roman" w:hAnsi="Calibri" w:cs="Calibri"/>
                <w:color w:val="000000"/>
                <w:sz w:val="20"/>
                <w:szCs w:val="20"/>
                <w:lang w:eastAsia="es-ES"/>
              </w:rPr>
              <w:t>126</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128,06</w:t>
            </w:r>
          </w:p>
        </w:tc>
        <w:tc>
          <w:tcPr>
            <w:tcW w:w="983" w:type="dxa"/>
            <w:vAlign w:val="bottom"/>
          </w:tcPr>
          <w:p w:rsidR="00597212" w:rsidRPr="0045345F" w:rsidRDefault="00597212" w:rsidP="00C10E85">
            <w:pPr>
              <w:jc w:val="center"/>
              <w:rPr>
                <w:rFonts w:ascii="Calibri" w:eastAsia="Times New Roman" w:hAnsi="Calibri" w:cs="Calibri"/>
                <w:b/>
                <w:i/>
                <w:color w:val="FF0000"/>
                <w:sz w:val="20"/>
                <w:szCs w:val="20"/>
                <w:u w:val="single"/>
                <w:lang w:eastAsia="es-ES"/>
              </w:rPr>
            </w:pPr>
            <w:r w:rsidRPr="0045345F">
              <w:rPr>
                <w:rFonts w:ascii="Calibri" w:eastAsia="Times New Roman" w:hAnsi="Calibri" w:cs="Calibri"/>
                <w:b/>
                <w:i/>
                <w:color w:val="FF0000"/>
                <w:sz w:val="20"/>
                <w:szCs w:val="20"/>
                <w:u w:val="single"/>
                <w:lang w:eastAsia="es-ES"/>
              </w:rPr>
              <w:t>117,97</w:t>
            </w:r>
          </w:p>
        </w:tc>
        <w:tc>
          <w:tcPr>
            <w:tcW w:w="986"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34,75</w:t>
            </w:r>
          </w:p>
        </w:tc>
        <w:tc>
          <w:tcPr>
            <w:tcW w:w="992" w:type="dxa"/>
            <w:vAlign w:val="bottom"/>
          </w:tcPr>
          <w:p w:rsidR="00597212" w:rsidRPr="0045345F" w:rsidRDefault="00597212" w:rsidP="00C10E85">
            <w:pPr>
              <w:jc w:val="center"/>
              <w:rPr>
                <w:rFonts w:ascii="Calibri" w:eastAsia="Times New Roman" w:hAnsi="Calibri" w:cs="Calibri"/>
                <w:b/>
                <w:i/>
                <w:color w:val="FF0000"/>
                <w:sz w:val="20"/>
                <w:szCs w:val="20"/>
                <w:u w:val="single"/>
                <w:lang w:eastAsia="es-ES"/>
              </w:rPr>
            </w:pPr>
            <w:r w:rsidRPr="0045345F">
              <w:rPr>
                <w:rFonts w:ascii="Calibri" w:eastAsia="Times New Roman" w:hAnsi="Calibri" w:cs="Calibri"/>
                <w:b/>
                <w:i/>
                <w:color w:val="FF0000"/>
                <w:sz w:val="20"/>
                <w:szCs w:val="20"/>
                <w:u w:val="single"/>
                <w:lang w:eastAsia="es-ES"/>
              </w:rPr>
              <w:t>120,35</w:t>
            </w:r>
          </w:p>
        </w:tc>
        <w:tc>
          <w:tcPr>
            <w:tcW w:w="754" w:type="dxa"/>
            <w:vAlign w:val="bottom"/>
          </w:tcPr>
          <w:p w:rsidR="00597212" w:rsidRPr="009C6E11" w:rsidRDefault="00597212" w:rsidP="00C10E85">
            <w:pPr>
              <w:jc w:val="center"/>
              <w:rPr>
                <w:rFonts w:ascii="Calibri" w:hAnsi="Calibri" w:cs="Calibri"/>
                <w:color w:val="000000"/>
                <w:sz w:val="20"/>
                <w:szCs w:val="20"/>
              </w:rPr>
            </w:pPr>
            <w:r w:rsidRPr="009C6E11">
              <w:rPr>
                <w:rFonts w:ascii="Calibri" w:hAnsi="Calibri" w:cs="Calibri"/>
                <w:color w:val="000000"/>
                <w:sz w:val="20"/>
                <w:szCs w:val="20"/>
              </w:rPr>
              <w:t>9,91</w:t>
            </w:r>
          </w:p>
        </w:tc>
        <w:tc>
          <w:tcPr>
            <w:tcW w:w="983" w:type="dxa"/>
            <w:vAlign w:val="bottom"/>
          </w:tcPr>
          <w:p w:rsidR="00597212" w:rsidRPr="0045345F" w:rsidRDefault="00597212" w:rsidP="00C10E85">
            <w:pPr>
              <w:jc w:val="center"/>
              <w:rPr>
                <w:rFonts w:ascii="Calibri" w:eastAsia="Times New Roman" w:hAnsi="Calibri" w:cs="Calibri"/>
                <w:b/>
                <w:i/>
                <w:color w:val="FF0000"/>
                <w:sz w:val="20"/>
                <w:szCs w:val="20"/>
                <w:u w:val="single"/>
                <w:lang w:eastAsia="es-ES"/>
              </w:rPr>
            </w:pPr>
            <w:r w:rsidRPr="0045345F">
              <w:rPr>
                <w:rFonts w:ascii="Calibri" w:eastAsia="Times New Roman" w:hAnsi="Calibri" w:cs="Calibri"/>
                <w:b/>
                <w:i/>
                <w:color w:val="FF0000"/>
                <w:sz w:val="20"/>
                <w:szCs w:val="20"/>
                <w:u w:val="single"/>
                <w:lang w:eastAsia="es-ES"/>
              </w:rPr>
              <w:t>436,85</w:t>
            </w:r>
          </w:p>
        </w:tc>
      </w:tr>
      <w:tr w:rsidR="00597212" w:rsidRPr="00F33081" w:rsidTr="00C10E85">
        <w:tc>
          <w:tcPr>
            <w:tcW w:w="2552" w:type="dxa"/>
            <w:vAlign w:val="bottom"/>
          </w:tcPr>
          <w:p w:rsidR="00597212" w:rsidRPr="00F33081" w:rsidRDefault="00597212" w:rsidP="00C10E85">
            <w:pPr>
              <w:rPr>
                <w:rFonts w:ascii="Calibri" w:eastAsia="Times New Roman" w:hAnsi="Calibri" w:cs="Calibri"/>
                <w:b/>
                <w:color w:val="000000"/>
                <w:sz w:val="20"/>
                <w:szCs w:val="20"/>
                <w:lang w:eastAsia="es-ES"/>
              </w:rPr>
            </w:pPr>
            <w:r>
              <w:rPr>
                <w:rFonts w:ascii="Calibri" w:eastAsia="Times New Roman" w:hAnsi="Calibri" w:cs="Calibri"/>
                <w:b/>
                <w:color w:val="000000"/>
                <w:sz w:val="20"/>
                <w:szCs w:val="20"/>
                <w:lang w:eastAsia="es-ES"/>
              </w:rPr>
              <w:t xml:space="preserve">14-15 Z Media </w:t>
            </w:r>
            <w:r w:rsidRPr="009C6E11">
              <w:rPr>
                <w:rFonts w:ascii="Calibri" w:eastAsia="Times New Roman" w:hAnsi="Calibri" w:cs="Calibri"/>
                <w:b/>
                <w:color w:val="000000"/>
                <w:sz w:val="20"/>
                <w:szCs w:val="20"/>
                <w:lang w:eastAsia="es-ES"/>
              </w:rPr>
              <w:t xml:space="preserve">Arga </w:t>
            </w:r>
            <w:proofErr w:type="spellStart"/>
            <w:r w:rsidRPr="00F33081">
              <w:rPr>
                <w:rFonts w:ascii="Calibri" w:eastAsia="Times New Roman" w:hAnsi="Calibri" w:cs="Calibri"/>
                <w:b/>
                <w:color w:val="000000"/>
                <w:sz w:val="20"/>
                <w:szCs w:val="20"/>
                <w:lang w:eastAsia="es-ES"/>
              </w:rPr>
              <w:t>Aragon</w:t>
            </w:r>
            <w:proofErr w:type="spellEnd"/>
          </w:p>
        </w:tc>
        <w:tc>
          <w:tcPr>
            <w:tcW w:w="851"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7,5</w:t>
            </w:r>
          </w:p>
        </w:tc>
        <w:tc>
          <w:tcPr>
            <w:tcW w:w="875" w:type="dxa"/>
            <w:vAlign w:val="bottom"/>
          </w:tcPr>
          <w:p w:rsidR="00597212" w:rsidRPr="00F33081" w:rsidRDefault="00597212" w:rsidP="00C10E85">
            <w:pPr>
              <w:jc w:val="right"/>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48</w:t>
            </w:r>
            <w:r w:rsidRPr="009C6E11">
              <w:rPr>
                <w:rFonts w:ascii="Calibri" w:eastAsia="Times New Roman" w:hAnsi="Calibri" w:cs="Calibri"/>
                <w:color w:val="000000"/>
                <w:sz w:val="20"/>
                <w:szCs w:val="20"/>
                <w:lang w:eastAsia="es-ES"/>
              </w:rPr>
              <w:t>.</w:t>
            </w:r>
            <w:r w:rsidRPr="00F33081">
              <w:rPr>
                <w:rFonts w:ascii="Calibri" w:eastAsia="Times New Roman" w:hAnsi="Calibri" w:cs="Calibri"/>
                <w:color w:val="000000"/>
                <w:sz w:val="20"/>
                <w:szCs w:val="20"/>
                <w:lang w:eastAsia="es-ES"/>
              </w:rPr>
              <w:t>036</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113,67</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78,48</w:t>
            </w:r>
          </w:p>
        </w:tc>
        <w:tc>
          <w:tcPr>
            <w:tcW w:w="986"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21,73</w:t>
            </w:r>
          </w:p>
        </w:tc>
        <w:tc>
          <w:tcPr>
            <w:tcW w:w="992" w:type="dxa"/>
            <w:vAlign w:val="bottom"/>
          </w:tcPr>
          <w:p w:rsidR="00597212" w:rsidRPr="0045345F" w:rsidRDefault="00597212" w:rsidP="00C10E85">
            <w:pPr>
              <w:jc w:val="center"/>
              <w:rPr>
                <w:rFonts w:ascii="Calibri" w:eastAsia="Times New Roman" w:hAnsi="Calibri" w:cs="Calibri"/>
                <w:b/>
                <w:i/>
                <w:color w:val="FF0000"/>
                <w:sz w:val="20"/>
                <w:szCs w:val="20"/>
                <w:u w:val="single"/>
                <w:lang w:eastAsia="es-ES"/>
              </w:rPr>
            </w:pPr>
            <w:r w:rsidRPr="0045345F">
              <w:rPr>
                <w:rFonts w:ascii="Calibri" w:eastAsia="Times New Roman" w:hAnsi="Calibri" w:cs="Calibri"/>
                <w:b/>
                <w:i/>
                <w:color w:val="FF0000"/>
                <w:sz w:val="20"/>
                <w:szCs w:val="20"/>
                <w:u w:val="single"/>
                <w:lang w:eastAsia="es-ES"/>
              </w:rPr>
              <w:t>91,66</w:t>
            </w:r>
          </w:p>
        </w:tc>
        <w:tc>
          <w:tcPr>
            <w:tcW w:w="754" w:type="dxa"/>
            <w:vAlign w:val="bottom"/>
          </w:tcPr>
          <w:p w:rsidR="00597212" w:rsidRPr="009C6E11" w:rsidRDefault="00597212" w:rsidP="00C10E85">
            <w:pPr>
              <w:jc w:val="center"/>
              <w:rPr>
                <w:rFonts w:ascii="Calibri" w:hAnsi="Calibri" w:cs="Calibri"/>
                <w:color w:val="000000"/>
                <w:sz w:val="20"/>
                <w:szCs w:val="20"/>
              </w:rPr>
            </w:pPr>
            <w:r w:rsidRPr="009C6E11">
              <w:rPr>
                <w:rFonts w:ascii="Calibri" w:hAnsi="Calibri" w:cs="Calibri"/>
                <w:color w:val="000000"/>
                <w:sz w:val="20"/>
                <w:szCs w:val="20"/>
              </w:rPr>
              <w:t>5,36</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305,59</w:t>
            </w:r>
          </w:p>
        </w:tc>
      </w:tr>
      <w:tr w:rsidR="00597212" w:rsidRPr="00F33081" w:rsidTr="00C10E85">
        <w:tc>
          <w:tcPr>
            <w:tcW w:w="2552" w:type="dxa"/>
            <w:vAlign w:val="bottom"/>
          </w:tcPr>
          <w:p w:rsidR="00597212" w:rsidRPr="00F33081" w:rsidRDefault="00597212" w:rsidP="00C10E85">
            <w:pPr>
              <w:rPr>
                <w:rFonts w:ascii="Calibri" w:eastAsia="Times New Roman" w:hAnsi="Calibri" w:cs="Calibri"/>
                <w:b/>
                <w:color w:val="000000"/>
                <w:sz w:val="20"/>
                <w:szCs w:val="20"/>
                <w:lang w:eastAsia="es-ES"/>
              </w:rPr>
            </w:pPr>
            <w:r w:rsidRPr="00F33081">
              <w:rPr>
                <w:rFonts w:ascii="Calibri" w:eastAsia="Times New Roman" w:hAnsi="Calibri" w:cs="Calibri"/>
                <w:b/>
                <w:color w:val="000000"/>
                <w:sz w:val="20"/>
                <w:szCs w:val="20"/>
                <w:lang w:eastAsia="es-ES"/>
              </w:rPr>
              <w:t>16. Ribera sur</w:t>
            </w:r>
            <w:r w:rsidRPr="009C6E11">
              <w:rPr>
                <w:rFonts w:ascii="Calibri" w:eastAsia="Times New Roman" w:hAnsi="Calibri" w:cs="Calibri"/>
                <w:b/>
                <w:color w:val="000000"/>
                <w:sz w:val="20"/>
                <w:szCs w:val="20"/>
                <w:lang w:eastAsia="es-ES"/>
              </w:rPr>
              <w:t xml:space="preserve"> 2030</w:t>
            </w:r>
          </w:p>
        </w:tc>
        <w:tc>
          <w:tcPr>
            <w:tcW w:w="851"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13,6</w:t>
            </w:r>
          </w:p>
        </w:tc>
        <w:tc>
          <w:tcPr>
            <w:tcW w:w="875" w:type="dxa"/>
            <w:vAlign w:val="bottom"/>
          </w:tcPr>
          <w:p w:rsidR="00597212" w:rsidRPr="00F33081" w:rsidRDefault="00597212" w:rsidP="00C10E85">
            <w:pPr>
              <w:jc w:val="right"/>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87</w:t>
            </w:r>
            <w:r w:rsidRPr="009C6E11">
              <w:rPr>
                <w:rFonts w:ascii="Calibri" w:eastAsia="Times New Roman" w:hAnsi="Calibri" w:cs="Calibri"/>
                <w:color w:val="000000"/>
                <w:sz w:val="20"/>
                <w:szCs w:val="20"/>
                <w:lang w:eastAsia="es-ES"/>
              </w:rPr>
              <w:t>.</w:t>
            </w:r>
            <w:r w:rsidRPr="00F33081">
              <w:rPr>
                <w:rFonts w:ascii="Calibri" w:eastAsia="Times New Roman" w:hAnsi="Calibri" w:cs="Calibri"/>
                <w:color w:val="000000"/>
                <w:sz w:val="20"/>
                <w:szCs w:val="20"/>
                <w:lang w:eastAsia="es-ES"/>
              </w:rPr>
              <w:t>105</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121,16</w:t>
            </w:r>
          </w:p>
        </w:tc>
        <w:tc>
          <w:tcPr>
            <w:tcW w:w="983" w:type="dxa"/>
            <w:vAlign w:val="bottom"/>
          </w:tcPr>
          <w:p w:rsidR="00597212" w:rsidRPr="0045345F" w:rsidRDefault="00597212" w:rsidP="00C10E85">
            <w:pPr>
              <w:jc w:val="center"/>
              <w:rPr>
                <w:rFonts w:ascii="Calibri" w:eastAsia="Times New Roman" w:hAnsi="Calibri" w:cs="Calibri"/>
                <w:b/>
                <w:i/>
                <w:color w:val="FF0000"/>
                <w:sz w:val="20"/>
                <w:szCs w:val="20"/>
                <w:u w:val="single"/>
                <w:lang w:eastAsia="es-ES"/>
              </w:rPr>
            </w:pPr>
            <w:r w:rsidRPr="0045345F">
              <w:rPr>
                <w:rFonts w:ascii="Calibri" w:eastAsia="Times New Roman" w:hAnsi="Calibri" w:cs="Calibri"/>
                <w:b/>
                <w:i/>
                <w:color w:val="FF0000"/>
                <w:sz w:val="20"/>
                <w:szCs w:val="20"/>
                <w:u w:val="single"/>
                <w:lang w:eastAsia="es-ES"/>
              </w:rPr>
              <w:t>195,89</w:t>
            </w:r>
          </w:p>
        </w:tc>
        <w:tc>
          <w:tcPr>
            <w:tcW w:w="986"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27,87</w:t>
            </w:r>
          </w:p>
        </w:tc>
        <w:tc>
          <w:tcPr>
            <w:tcW w:w="992" w:type="dxa"/>
            <w:vAlign w:val="bottom"/>
          </w:tcPr>
          <w:p w:rsidR="00597212" w:rsidRPr="0045345F" w:rsidRDefault="00597212" w:rsidP="00C10E85">
            <w:pPr>
              <w:jc w:val="center"/>
              <w:rPr>
                <w:rFonts w:ascii="Calibri" w:eastAsia="Times New Roman" w:hAnsi="Calibri" w:cs="Calibri"/>
                <w:b/>
                <w:i/>
                <w:color w:val="FF0000"/>
                <w:sz w:val="20"/>
                <w:szCs w:val="20"/>
                <w:u w:val="single"/>
                <w:lang w:eastAsia="es-ES"/>
              </w:rPr>
            </w:pPr>
            <w:r w:rsidRPr="0045345F">
              <w:rPr>
                <w:rFonts w:ascii="Calibri" w:eastAsia="Times New Roman" w:hAnsi="Calibri" w:cs="Calibri"/>
                <w:b/>
                <w:i/>
                <w:color w:val="FF0000"/>
                <w:sz w:val="20"/>
                <w:szCs w:val="20"/>
                <w:u w:val="single"/>
                <w:lang w:eastAsia="es-ES"/>
              </w:rPr>
              <w:t>87,13</w:t>
            </w:r>
          </w:p>
        </w:tc>
        <w:tc>
          <w:tcPr>
            <w:tcW w:w="754" w:type="dxa"/>
            <w:vAlign w:val="bottom"/>
          </w:tcPr>
          <w:p w:rsidR="00597212" w:rsidRPr="009C6E11" w:rsidRDefault="00597212" w:rsidP="00C10E85">
            <w:pPr>
              <w:jc w:val="center"/>
              <w:rPr>
                <w:rFonts w:ascii="Calibri" w:hAnsi="Calibri" w:cs="Calibri"/>
                <w:color w:val="000000"/>
                <w:sz w:val="20"/>
                <w:szCs w:val="20"/>
              </w:rPr>
            </w:pPr>
            <w:r w:rsidRPr="009C6E11">
              <w:rPr>
                <w:rFonts w:ascii="Calibri" w:hAnsi="Calibri" w:cs="Calibri"/>
                <w:color w:val="000000"/>
                <w:sz w:val="20"/>
                <w:szCs w:val="20"/>
              </w:rPr>
              <w:t>13,74</w:t>
            </w:r>
          </w:p>
        </w:tc>
        <w:tc>
          <w:tcPr>
            <w:tcW w:w="983" w:type="dxa"/>
            <w:vAlign w:val="bottom"/>
          </w:tcPr>
          <w:p w:rsidR="00597212" w:rsidRPr="0045345F" w:rsidRDefault="00597212" w:rsidP="00C10E85">
            <w:pPr>
              <w:jc w:val="center"/>
              <w:rPr>
                <w:rFonts w:ascii="Calibri" w:eastAsia="Times New Roman" w:hAnsi="Calibri" w:cs="Calibri"/>
                <w:b/>
                <w:i/>
                <w:color w:val="FF0000"/>
                <w:sz w:val="20"/>
                <w:szCs w:val="20"/>
                <w:u w:val="single"/>
                <w:lang w:eastAsia="es-ES"/>
              </w:rPr>
            </w:pPr>
            <w:r w:rsidRPr="0045345F">
              <w:rPr>
                <w:rFonts w:ascii="Calibri" w:eastAsia="Times New Roman" w:hAnsi="Calibri" w:cs="Calibri"/>
                <w:b/>
                <w:i/>
                <w:color w:val="FF0000"/>
                <w:sz w:val="20"/>
                <w:szCs w:val="20"/>
                <w:u w:val="single"/>
                <w:lang w:eastAsia="es-ES"/>
              </w:rPr>
              <w:t>432,04</w:t>
            </w:r>
          </w:p>
        </w:tc>
      </w:tr>
      <w:tr w:rsidR="00597212" w:rsidRPr="00F33081" w:rsidTr="00C10E85">
        <w:tc>
          <w:tcPr>
            <w:tcW w:w="2552" w:type="dxa"/>
            <w:vAlign w:val="bottom"/>
          </w:tcPr>
          <w:p w:rsidR="00597212" w:rsidRPr="00F33081" w:rsidRDefault="00597212" w:rsidP="00C10E85">
            <w:pPr>
              <w:rPr>
                <w:rFonts w:ascii="Calibri" w:eastAsia="Times New Roman" w:hAnsi="Calibri" w:cs="Calibri"/>
                <w:b/>
                <w:color w:val="000000"/>
                <w:sz w:val="20"/>
                <w:szCs w:val="20"/>
                <w:lang w:eastAsia="es-ES"/>
              </w:rPr>
            </w:pPr>
            <w:r w:rsidRPr="009C6E11">
              <w:rPr>
                <w:rFonts w:ascii="Calibri" w:eastAsia="Times New Roman" w:hAnsi="Calibri" w:cs="Calibri"/>
                <w:b/>
                <w:color w:val="000000"/>
                <w:sz w:val="20"/>
                <w:szCs w:val="20"/>
                <w:lang w:eastAsia="es-ES"/>
              </w:rPr>
              <w:t>Total N</w:t>
            </w:r>
            <w:r w:rsidRPr="00F33081">
              <w:rPr>
                <w:rFonts w:ascii="Calibri" w:eastAsia="Times New Roman" w:hAnsi="Calibri" w:cs="Calibri"/>
                <w:b/>
                <w:color w:val="000000"/>
                <w:sz w:val="20"/>
                <w:szCs w:val="20"/>
                <w:lang w:eastAsia="es-ES"/>
              </w:rPr>
              <w:t>avarra 2030</w:t>
            </w:r>
          </w:p>
        </w:tc>
        <w:tc>
          <w:tcPr>
            <w:tcW w:w="851"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100</w:t>
            </w:r>
          </w:p>
        </w:tc>
        <w:tc>
          <w:tcPr>
            <w:tcW w:w="875" w:type="dxa"/>
            <w:vAlign w:val="bottom"/>
          </w:tcPr>
          <w:p w:rsidR="00597212" w:rsidRPr="00F33081" w:rsidRDefault="00597212" w:rsidP="00C10E85">
            <w:pPr>
              <w:jc w:val="right"/>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640.476</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119,86</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84,64</w:t>
            </w:r>
          </w:p>
        </w:tc>
        <w:tc>
          <w:tcPr>
            <w:tcW w:w="986"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44,71</w:t>
            </w:r>
          </w:p>
        </w:tc>
        <w:tc>
          <w:tcPr>
            <w:tcW w:w="992"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60,14</w:t>
            </w:r>
          </w:p>
        </w:tc>
        <w:tc>
          <w:tcPr>
            <w:tcW w:w="754" w:type="dxa"/>
            <w:vAlign w:val="bottom"/>
          </w:tcPr>
          <w:p w:rsidR="00597212" w:rsidRPr="009C6E11" w:rsidRDefault="00597212" w:rsidP="00C10E85">
            <w:pPr>
              <w:jc w:val="center"/>
              <w:rPr>
                <w:rFonts w:ascii="Calibri" w:hAnsi="Calibri" w:cs="Calibri"/>
                <w:color w:val="000000"/>
                <w:sz w:val="20"/>
                <w:szCs w:val="20"/>
              </w:rPr>
            </w:pPr>
            <w:r w:rsidRPr="009C6E11">
              <w:rPr>
                <w:rFonts w:ascii="Calibri" w:hAnsi="Calibri" w:cs="Calibri"/>
                <w:color w:val="000000"/>
                <w:sz w:val="20"/>
                <w:szCs w:val="20"/>
              </w:rPr>
              <w:t>72,32</w:t>
            </w:r>
          </w:p>
        </w:tc>
        <w:tc>
          <w:tcPr>
            <w:tcW w:w="983" w:type="dxa"/>
            <w:vAlign w:val="bottom"/>
          </w:tcPr>
          <w:p w:rsidR="00597212" w:rsidRPr="00F33081" w:rsidRDefault="00597212" w:rsidP="00C10E85">
            <w:pPr>
              <w:jc w:val="center"/>
              <w:rPr>
                <w:rFonts w:ascii="Calibri" w:eastAsia="Times New Roman" w:hAnsi="Calibri" w:cs="Calibri"/>
                <w:color w:val="000000"/>
                <w:sz w:val="20"/>
                <w:szCs w:val="20"/>
                <w:lang w:eastAsia="es-ES"/>
              </w:rPr>
            </w:pPr>
            <w:r w:rsidRPr="00F33081">
              <w:rPr>
                <w:rFonts w:ascii="Calibri" w:eastAsia="Times New Roman" w:hAnsi="Calibri" w:cs="Calibri"/>
                <w:color w:val="000000"/>
                <w:sz w:val="20"/>
                <w:szCs w:val="20"/>
                <w:lang w:eastAsia="es-ES"/>
              </w:rPr>
              <w:t>309,34</w:t>
            </w:r>
          </w:p>
        </w:tc>
      </w:tr>
    </w:tbl>
    <w:p w:rsidR="00597212" w:rsidRDefault="00B45EAD" w:rsidP="00E447B2">
      <w:pPr>
        <w:spacing w:after="0"/>
        <w:rPr>
          <w:i/>
          <w:sz w:val="20"/>
          <w:szCs w:val="20"/>
        </w:rPr>
      </w:pPr>
      <w:r>
        <w:rPr>
          <w:i/>
          <w:sz w:val="20"/>
          <w:szCs w:val="20"/>
        </w:rPr>
        <w:t>Fuente: elaboración propia a partir de los datos del cuadro de la página 65 del Plan</w:t>
      </w:r>
    </w:p>
    <w:p w:rsidR="00B45EAD" w:rsidRPr="00B45EAD" w:rsidRDefault="00B45EAD" w:rsidP="00E447B2">
      <w:pPr>
        <w:spacing w:after="0"/>
        <w:rPr>
          <w:i/>
          <w:sz w:val="20"/>
          <w:szCs w:val="20"/>
        </w:rPr>
      </w:pPr>
    </w:p>
    <w:p w:rsidR="003C6388" w:rsidRPr="00597212" w:rsidRDefault="00C966C4" w:rsidP="00E447B2">
      <w:pPr>
        <w:spacing w:after="0"/>
      </w:pPr>
      <w:r w:rsidRPr="00597212">
        <w:t>Tenemos el temor de que se sigan manteniendo las inercias de las viejas políticas</w:t>
      </w:r>
      <w:r w:rsidR="00EB26FC" w:rsidRPr="00597212">
        <w:t xml:space="preserve"> de oferta con estimaciones de consumo infladas que han llevado en el pasado reciente a infraestructuras in</w:t>
      </w:r>
      <w:r w:rsidR="00D40390" w:rsidRPr="00597212">
        <w:t>f</w:t>
      </w:r>
      <w:r w:rsidR="00EB26FC" w:rsidRPr="00597212">
        <w:t xml:space="preserve">rautilizadas como el de la potabilizadora de Tiebas con aguas de Itoiz. </w:t>
      </w:r>
      <w:r w:rsidR="006005C5" w:rsidRPr="00597212">
        <w:t xml:space="preserve"> </w:t>
      </w:r>
      <w:r w:rsidRPr="00597212">
        <w:t>Puede estar</w:t>
      </w:r>
      <w:r w:rsidR="009E3292" w:rsidRPr="00597212">
        <w:t xml:space="preserve"> bien contar con una reserva estratégica por si hubiera crecimientos no previstos, pero no inflar las previsiones de consumo</w:t>
      </w:r>
      <w:r w:rsidRPr="00597212">
        <w:t>, que van a repercutir</w:t>
      </w:r>
      <w:r w:rsidR="00897B93">
        <w:t xml:space="preserve"> </w:t>
      </w:r>
      <w:r w:rsidRPr="00597212">
        <w:t xml:space="preserve">en los costes de </w:t>
      </w:r>
      <w:r w:rsidR="00943D2C" w:rsidRPr="00597212">
        <w:t>canon a pagar por l</w:t>
      </w:r>
      <w:r w:rsidR="002B35D9" w:rsidRPr="00597212">
        <w:t>as mancomunidades</w:t>
      </w:r>
      <w:r w:rsidR="009E3292" w:rsidRPr="00597212">
        <w:t>.</w:t>
      </w:r>
    </w:p>
    <w:p w:rsidR="002B35D9" w:rsidRPr="00D520BD" w:rsidRDefault="00943D2C" w:rsidP="00E447B2">
      <w:pPr>
        <w:spacing w:after="0"/>
        <w:rPr>
          <w:b/>
          <w:i/>
          <w:color w:val="002060"/>
          <w:u w:val="single"/>
        </w:rPr>
      </w:pPr>
      <w:r w:rsidRPr="00D520BD">
        <w:rPr>
          <w:b/>
          <w:i/>
          <w:color w:val="002060"/>
          <w:u w:val="single"/>
        </w:rPr>
        <w:lastRenderedPageBreak/>
        <w:t>Propuesta</w:t>
      </w:r>
      <w:r w:rsidR="0045345F" w:rsidRPr="00D520BD">
        <w:rPr>
          <w:b/>
          <w:i/>
          <w:color w:val="002060"/>
          <w:u w:val="single"/>
        </w:rPr>
        <w:t>s</w:t>
      </w:r>
      <w:r w:rsidRPr="00D520BD">
        <w:rPr>
          <w:b/>
          <w:i/>
          <w:color w:val="002060"/>
          <w:u w:val="single"/>
        </w:rPr>
        <w:t>:</w:t>
      </w:r>
    </w:p>
    <w:p w:rsidR="002B35D9" w:rsidRPr="00950D4B" w:rsidRDefault="002B35D9" w:rsidP="006D6ECB">
      <w:pPr>
        <w:pStyle w:val="Prrafodelista"/>
        <w:numPr>
          <w:ilvl w:val="0"/>
          <w:numId w:val="10"/>
        </w:numPr>
        <w:spacing w:after="0"/>
        <w:rPr>
          <w:i/>
          <w:color w:val="002060"/>
        </w:rPr>
      </w:pPr>
      <w:r w:rsidRPr="00950D4B">
        <w:rPr>
          <w:i/>
          <w:color w:val="002060"/>
        </w:rPr>
        <w:t>Revisar por comarcas y mancomunidades las previsiones de consumo</w:t>
      </w:r>
      <w:r w:rsidR="00493A54" w:rsidRPr="00950D4B">
        <w:rPr>
          <w:i/>
          <w:color w:val="002060"/>
        </w:rPr>
        <w:t xml:space="preserve"> </w:t>
      </w:r>
    </w:p>
    <w:p w:rsidR="0045345F" w:rsidRPr="00950D4B" w:rsidRDefault="0045345F" w:rsidP="006D6ECB">
      <w:pPr>
        <w:pStyle w:val="Prrafodelista"/>
        <w:numPr>
          <w:ilvl w:val="0"/>
          <w:numId w:val="10"/>
        </w:numPr>
        <w:spacing w:after="0"/>
        <w:rPr>
          <w:i/>
          <w:color w:val="002060"/>
        </w:rPr>
      </w:pPr>
      <w:r w:rsidRPr="00950D4B">
        <w:rPr>
          <w:i/>
          <w:color w:val="002060"/>
        </w:rPr>
        <w:t>Hacer un estudio sobre la ANR a corto plazo (2 años) para determinar los porcentajes que se deben a fugas y a deficiente facturación. En función de los datos, un plan concreto para reducir la ANR</w:t>
      </w:r>
    </w:p>
    <w:p w:rsidR="00EB26FC" w:rsidRPr="00597212" w:rsidRDefault="00EB26FC" w:rsidP="00E447B2">
      <w:pPr>
        <w:spacing w:after="0"/>
      </w:pPr>
    </w:p>
    <w:p w:rsidR="00533BCC" w:rsidRPr="00597212" w:rsidRDefault="003C6388" w:rsidP="00E447B2">
      <w:pPr>
        <w:spacing w:after="0"/>
        <w:rPr>
          <w:b/>
        </w:rPr>
      </w:pPr>
      <w:r w:rsidRPr="00597212">
        <w:rPr>
          <w:b/>
        </w:rPr>
        <w:t xml:space="preserve">4.- </w:t>
      </w:r>
      <w:r w:rsidR="00493A54" w:rsidRPr="00597212">
        <w:rPr>
          <w:b/>
        </w:rPr>
        <w:t xml:space="preserve">Concentración o diversificación de fuentes de </w:t>
      </w:r>
      <w:r w:rsidRPr="00597212">
        <w:rPr>
          <w:b/>
        </w:rPr>
        <w:t xml:space="preserve">abastecimiento. </w:t>
      </w:r>
    </w:p>
    <w:p w:rsidR="00493A54" w:rsidRPr="00597212" w:rsidRDefault="00493A54" w:rsidP="00E447B2">
      <w:pPr>
        <w:spacing w:after="0"/>
      </w:pPr>
      <w:r w:rsidRPr="00597212">
        <w:t xml:space="preserve">En el apartado </w:t>
      </w:r>
      <w:r w:rsidRPr="00597212">
        <w:rPr>
          <w:i/>
        </w:rPr>
        <w:t>4.2 Objetivos de prestación de los  servicios</w:t>
      </w:r>
      <w:r w:rsidRPr="00597212">
        <w:t xml:space="preserve"> </w:t>
      </w:r>
      <w:proofErr w:type="gramStart"/>
      <w:r w:rsidRPr="00597212">
        <w:t>( pag.57</w:t>
      </w:r>
      <w:proofErr w:type="gramEnd"/>
      <w:r w:rsidRPr="00597212">
        <w:t>), se plantea el objetivo de “</w:t>
      </w:r>
      <w:r w:rsidRPr="00597212">
        <w:rPr>
          <w:i/>
        </w:rPr>
        <w:t xml:space="preserve">el equilibrio entre excesiva concentración de captaciones y excesiva atomización, disponiendo de fuentes suficientemente sólidas y a la vez diversificadas”. </w:t>
      </w:r>
      <w:r w:rsidRPr="00597212">
        <w:t xml:space="preserve">Nada que objetar, pero si se miran las alternativas de abastecimiento </w:t>
      </w:r>
      <w:r w:rsidR="00C05962" w:rsidRPr="00597212">
        <w:t>que propone el Plan para la mitad sur de Navarra,  hay una apuesta decidida por la concentración de fuentes</w:t>
      </w:r>
    </w:p>
    <w:p w:rsidR="008B5310" w:rsidRPr="00597212" w:rsidRDefault="00C05962" w:rsidP="00E447B2">
      <w:pPr>
        <w:spacing w:after="0"/>
      </w:pPr>
      <w:r w:rsidRPr="00597212">
        <w:t>Conviene dar un repaso a l</w:t>
      </w:r>
      <w:r w:rsidR="00D651BE" w:rsidRPr="00597212">
        <w:t>a evolución de este asunto en las últimas décadas, en la</w:t>
      </w:r>
      <w:r w:rsidRPr="00597212">
        <w:t xml:space="preserve">s que ha habido </w:t>
      </w:r>
      <w:r w:rsidR="00943D2C" w:rsidRPr="00597212">
        <w:t xml:space="preserve"> una continua</w:t>
      </w:r>
      <w:r w:rsidR="008B5310" w:rsidRPr="00597212">
        <w:t xml:space="preserve"> eliminación de fuentes locales, que va parejo a un desentendimiento de muchos municipios, que en definitiva son los que tienen la competencia del abastecimiento y saneamiento.</w:t>
      </w:r>
    </w:p>
    <w:p w:rsidR="00C05962" w:rsidRPr="00597212" w:rsidRDefault="00C05962" w:rsidP="00E447B2">
      <w:pPr>
        <w:spacing w:after="0"/>
      </w:pPr>
      <w:r w:rsidRPr="00597212">
        <w:t xml:space="preserve">En la planificación de anteriores legislaturas y en lo referente a la mitad sur de la Comunidad se ha apostado por dos fuentes: Los acuíferos de </w:t>
      </w:r>
      <w:proofErr w:type="spellStart"/>
      <w:r w:rsidRPr="00597212">
        <w:t>Lokiz</w:t>
      </w:r>
      <w:proofErr w:type="spellEnd"/>
      <w:r w:rsidRPr="00597212">
        <w:t xml:space="preserve"> en Tierra Estella (Montejurra) y el Canal de Navarra en el resto, prescindiendo en muchos casos de fuentes de agua bruta de calidad</w:t>
      </w:r>
    </w:p>
    <w:p w:rsidR="00C40269" w:rsidRPr="00597212" w:rsidRDefault="00D651BE" w:rsidP="00C40269">
      <w:pPr>
        <w:spacing w:after="0"/>
      </w:pPr>
      <w:r w:rsidRPr="00597212">
        <w:t>A nuestro juicio h</w:t>
      </w:r>
      <w:r w:rsidR="00A45097" w:rsidRPr="00597212">
        <w:t xml:space="preserve">a habido una obsesión por buscar clientes para el </w:t>
      </w:r>
      <w:r w:rsidR="00C05962" w:rsidRPr="00597212">
        <w:t>Canal de Navarra</w:t>
      </w:r>
      <w:r w:rsidRPr="00597212">
        <w:t>, como se puede comprobar en los numerosos ejemplos que se señalan a pie de página</w:t>
      </w:r>
      <w:r w:rsidRPr="00597212">
        <w:rPr>
          <w:rStyle w:val="Refdenotaalpie"/>
        </w:rPr>
        <w:footnoteReference w:id="2"/>
      </w:r>
      <w:r w:rsidRPr="00597212">
        <w:t>.</w:t>
      </w:r>
      <w:r w:rsidR="00865229" w:rsidRPr="00597212">
        <w:t xml:space="preserve"> Es cierto que el Gobierno de Navarra se comprometió en su día a 60 hm3 de Itoi</w:t>
      </w:r>
      <w:r w:rsidR="0045345F">
        <w:t>z para abastecimiento, también</w:t>
      </w:r>
      <w:r w:rsidR="00865229" w:rsidRPr="00597212">
        <w:t xml:space="preserve"> que CANASA pasa por una grave crisis financiera, pero no deben ser las mancomunidades y los usuarios</w:t>
      </w:r>
      <w:r w:rsidR="0045345F">
        <w:t xml:space="preserve"> quienes paguen el </w:t>
      </w:r>
      <w:proofErr w:type="spellStart"/>
      <w:r w:rsidR="0045345F">
        <w:t>chandrío</w:t>
      </w:r>
      <w:proofErr w:type="spellEnd"/>
      <w:r w:rsidR="0045345F">
        <w:t xml:space="preserve">,  y además </w:t>
      </w:r>
      <w:r w:rsidR="00865229" w:rsidRPr="00597212">
        <w:t xml:space="preserve"> a costa del uso sostenible del agua. Consideramos que es preciso revisar esta polí</w:t>
      </w:r>
      <w:r w:rsidR="00897B93">
        <w:t>tica,</w:t>
      </w:r>
      <w:r w:rsidR="0045345F">
        <w:t xml:space="preserve"> que</w:t>
      </w:r>
      <w:r w:rsidR="00865229" w:rsidRPr="00597212">
        <w:t xml:space="preserve"> siempre ha ido unida a unas previsiones infladas de consumo</w:t>
      </w:r>
      <w:r w:rsidR="0045345F">
        <w:t xml:space="preserve"> que hemos abordado en el apartado anterior</w:t>
      </w:r>
      <w:r w:rsidR="00865229" w:rsidRPr="00597212">
        <w:t>.</w:t>
      </w:r>
    </w:p>
    <w:p w:rsidR="00865229" w:rsidRPr="00597212" w:rsidRDefault="00865229" w:rsidP="00C40269">
      <w:pPr>
        <w:spacing w:after="0"/>
      </w:pPr>
      <w:r w:rsidRPr="00597212">
        <w:t>No nos oponemos a que se usen ag</w:t>
      </w:r>
      <w:r w:rsidR="00235ABB">
        <w:t>uas de Itoiz donde no hay aguas brutas de calidad</w:t>
      </w:r>
      <w:r w:rsidR="00897B93">
        <w:t xml:space="preserve">, </w:t>
      </w:r>
      <w:r w:rsidR="00E50BEA" w:rsidRPr="00597212">
        <w:t>pero</w:t>
      </w:r>
      <w:r w:rsidR="00897B93">
        <w:t xml:space="preserve"> siempre que se haga con criterios</w:t>
      </w:r>
      <w:r w:rsidR="00950D4B">
        <w:t xml:space="preserve"> de eficiencia y sostenibilidad, manteniendo </w:t>
      </w:r>
      <w:r w:rsidR="00897B93">
        <w:t>las fuentes de buena calidad</w:t>
      </w:r>
      <w:r w:rsidR="00950D4B">
        <w:t xml:space="preserve"> existentes y </w:t>
      </w:r>
      <w:r w:rsidR="00897B93">
        <w:t>los pozos aluviales</w:t>
      </w:r>
      <w:r w:rsidR="00235ABB">
        <w:t xml:space="preserve"> que ahora se pretenden clausurar</w:t>
      </w:r>
      <w:r w:rsidR="008B3D11" w:rsidRPr="00597212">
        <w:t>. La diversificación de fuentes es importante para la seguridad del abastec</w:t>
      </w:r>
      <w:r w:rsidR="00E50BEA" w:rsidRPr="00597212">
        <w:t>i</w:t>
      </w:r>
      <w:r w:rsidR="008B3D11" w:rsidRPr="00597212">
        <w:t>miento</w:t>
      </w:r>
      <w:r w:rsidR="00E50BEA" w:rsidRPr="00597212">
        <w:t xml:space="preserve">. ¿Qué pasaría en el hipotético caso  de que no se pueda utilizar el canal por un accidente o por un atentado?  </w:t>
      </w:r>
    </w:p>
    <w:p w:rsidR="00950D4B" w:rsidRPr="00D520BD" w:rsidRDefault="00950D4B" w:rsidP="00E50BEA">
      <w:pPr>
        <w:spacing w:after="0"/>
        <w:rPr>
          <w:b/>
          <w:color w:val="002060"/>
          <w:u w:val="single"/>
        </w:rPr>
      </w:pPr>
    </w:p>
    <w:p w:rsidR="00E50BEA" w:rsidRPr="00D520BD" w:rsidRDefault="00943D2C" w:rsidP="00E50BEA">
      <w:pPr>
        <w:spacing w:after="0"/>
        <w:rPr>
          <w:b/>
          <w:i/>
          <w:color w:val="002060"/>
          <w:u w:val="single"/>
        </w:rPr>
      </w:pPr>
      <w:r w:rsidRPr="00D520BD">
        <w:rPr>
          <w:b/>
          <w:i/>
          <w:color w:val="002060"/>
          <w:u w:val="single"/>
        </w:rPr>
        <w:t>Propuesta</w:t>
      </w:r>
      <w:r w:rsidR="00235ABB" w:rsidRPr="00D520BD">
        <w:rPr>
          <w:b/>
          <w:i/>
          <w:color w:val="002060"/>
          <w:u w:val="single"/>
        </w:rPr>
        <w:t>s</w:t>
      </w:r>
      <w:r w:rsidRPr="00D520BD">
        <w:rPr>
          <w:b/>
          <w:i/>
          <w:color w:val="002060"/>
          <w:u w:val="single"/>
        </w:rPr>
        <w:t>:</w:t>
      </w:r>
    </w:p>
    <w:p w:rsidR="00235ABB" w:rsidRPr="00950D4B" w:rsidRDefault="00235ABB" w:rsidP="006D6ECB">
      <w:pPr>
        <w:pStyle w:val="Prrafodelista"/>
        <w:numPr>
          <w:ilvl w:val="0"/>
          <w:numId w:val="9"/>
        </w:numPr>
        <w:spacing w:after="0"/>
        <w:rPr>
          <w:i/>
          <w:color w:val="002060"/>
        </w:rPr>
      </w:pPr>
      <w:r w:rsidRPr="00950D4B">
        <w:rPr>
          <w:i/>
          <w:color w:val="002060"/>
        </w:rPr>
        <w:t>Mantener</w:t>
      </w:r>
      <w:r w:rsidR="00E50BEA" w:rsidRPr="00950D4B">
        <w:rPr>
          <w:i/>
          <w:color w:val="002060"/>
        </w:rPr>
        <w:t xml:space="preserve"> por comarcas y mancomunidades las fuentes de agua </w:t>
      </w:r>
      <w:r w:rsidRPr="00950D4B">
        <w:rPr>
          <w:i/>
          <w:color w:val="002060"/>
        </w:rPr>
        <w:t>bruta de calidad e</w:t>
      </w:r>
      <w:r w:rsidR="00E50BEA" w:rsidRPr="00950D4B">
        <w:rPr>
          <w:i/>
          <w:color w:val="002060"/>
        </w:rPr>
        <w:t>xistentes</w:t>
      </w:r>
      <w:r w:rsidRPr="00950D4B">
        <w:rPr>
          <w:i/>
          <w:color w:val="002060"/>
        </w:rPr>
        <w:t xml:space="preserve">: Zona 14, 15: embalse de Mairaga, abastecimiento de los pueblos de la Ribera del río Aragón desde la acequia de Navarra (Yesa). Zona 16 Ribera Sur: abastecimientos desde el Ferial (Yesa) y del Queiles. </w:t>
      </w:r>
    </w:p>
    <w:p w:rsidR="00E50BEA" w:rsidRPr="00950D4B" w:rsidRDefault="00950D4B" w:rsidP="006D6ECB">
      <w:pPr>
        <w:pStyle w:val="Prrafodelista"/>
        <w:numPr>
          <w:ilvl w:val="0"/>
          <w:numId w:val="9"/>
        </w:numPr>
        <w:spacing w:after="0"/>
        <w:rPr>
          <w:i/>
          <w:color w:val="002060"/>
        </w:rPr>
      </w:pPr>
      <w:r w:rsidRPr="00950D4B">
        <w:rPr>
          <w:i/>
          <w:color w:val="002060"/>
        </w:rPr>
        <w:t xml:space="preserve">Ribera Sur, Arga, Aragón y Montejurra: </w:t>
      </w:r>
      <w:r w:rsidR="00235ABB" w:rsidRPr="00950D4B">
        <w:rPr>
          <w:i/>
          <w:color w:val="002060"/>
        </w:rPr>
        <w:t>Mantenimiento de  los pozos aluviales que ahora se pretenden clausurar para usos de menor exigencia de calidad. Protección de los pozos para posibilitar su descontaminación.</w:t>
      </w:r>
    </w:p>
    <w:p w:rsidR="008B5310" w:rsidRPr="00597212" w:rsidRDefault="008B5310" w:rsidP="00E447B2">
      <w:pPr>
        <w:spacing w:after="0"/>
        <w:rPr>
          <w:color w:val="FF0000"/>
        </w:rPr>
      </w:pPr>
    </w:p>
    <w:p w:rsidR="00003642" w:rsidRPr="00597212" w:rsidRDefault="009E3292" w:rsidP="00E447B2">
      <w:pPr>
        <w:spacing w:after="0"/>
        <w:rPr>
          <w:b/>
        </w:rPr>
      </w:pPr>
      <w:r w:rsidRPr="00597212">
        <w:rPr>
          <w:b/>
        </w:rPr>
        <w:t xml:space="preserve">5.- </w:t>
      </w:r>
      <w:r w:rsidR="00FA7DA3" w:rsidRPr="00597212">
        <w:rPr>
          <w:b/>
        </w:rPr>
        <w:t>Transpar</w:t>
      </w:r>
      <w:r w:rsidR="003C6388" w:rsidRPr="00597212">
        <w:rPr>
          <w:b/>
        </w:rPr>
        <w:t>encia</w:t>
      </w:r>
      <w:r w:rsidR="00003642" w:rsidRPr="00597212">
        <w:rPr>
          <w:b/>
        </w:rPr>
        <w:t xml:space="preserve"> y participación</w:t>
      </w:r>
      <w:r w:rsidR="00FA7DA3" w:rsidRPr="00597212">
        <w:rPr>
          <w:b/>
        </w:rPr>
        <w:t xml:space="preserve">. </w:t>
      </w:r>
    </w:p>
    <w:p w:rsidR="00E50BEA" w:rsidRPr="00597212" w:rsidRDefault="00FA7DA3" w:rsidP="00E447B2">
      <w:pPr>
        <w:spacing w:after="0"/>
      </w:pPr>
      <w:r w:rsidRPr="00597212">
        <w:t xml:space="preserve">En los </w:t>
      </w:r>
      <w:r w:rsidR="00943D2C" w:rsidRPr="00597212">
        <w:rPr>
          <w:i/>
        </w:rPr>
        <w:t>O</w:t>
      </w:r>
      <w:r w:rsidRPr="00597212">
        <w:rPr>
          <w:i/>
        </w:rPr>
        <w:t>bjetivos sobre gobernanza</w:t>
      </w:r>
      <w:r w:rsidRPr="00597212">
        <w:t xml:space="preserve"> (</w:t>
      </w:r>
      <w:proofErr w:type="spellStart"/>
      <w:r w:rsidR="00E50BEA" w:rsidRPr="00597212">
        <w:t>pag</w:t>
      </w:r>
      <w:proofErr w:type="spellEnd"/>
      <w:r w:rsidR="00E50BEA" w:rsidRPr="00597212">
        <w:t xml:space="preserve"> 59</w:t>
      </w:r>
      <w:r w:rsidR="003C0917">
        <w:t>) se dice textualmente “</w:t>
      </w:r>
      <w:r w:rsidRPr="00597212">
        <w:rPr>
          <w:i/>
        </w:rPr>
        <w:t xml:space="preserve">Todo el servicio del ciclo integral del agua de uso urbano deberá alcanzar la máxima </w:t>
      </w:r>
      <w:proofErr w:type="gramStart"/>
      <w:r w:rsidRPr="00597212">
        <w:rPr>
          <w:i/>
        </w:rPr>
        <w:t>transparencia …</w:t>
      </w:r>
      <w:proofErr w:type="gramEnd"/>
      <w:r w:rsidRPr="00597212">
        <w:rPr>
          <w:i/>
        </w:rPr>
        <w:t>… favoreciendo que la toma de decisiones incluya las demandas de la sociedad”</w:t>
      </w:r>
      <w:r w:rsidRPr="00597212">
        <w:t xml:space="preserve"> </w:t>
      </w:r>
      <w:r w:rsidR="00E50BEA" w:rsidRPr="00597212">
        <w:t xml:space="preserve"> </w:t>
      </w:r>
    </w:p>
    <w:p w:rsidR="00B64F0D" w:rsidRPr="00597212" w:rsidRDefault="00E50BEA" w:rsidP="00E447B2">
      <w:pPr>
        <w:spacing w:after="0"/>
      </w:pPr>
      <w:r w:rsidRPr="00597212">
        <w:t xml:space="preserve">Totalmente de acuerdo, pero echamos en falta que estos objetivos se concreten en actuaciones. </w:t>
      </w:r>
      <w:r w:rsidR="00B64F0D" w:rsidRPr="00597212">
        <w:t xml:space="preserve">En el apartado </w:t>
      </w:r>
      <w:r w:rsidR="00B64F0D" w:rsidRPr="00597212">
        <w:rPr>
          <w:i/>
        </w:rPr>
        <w:t>6.3 Transparencia</w:t>
      </w:r>
      <w:r w:rsidR="00B64F0D" w:rsidRPr="00597212">
        <w:t xml:space="preserve"> (</w:t>
      </w:r>
      <w:proofErr w:type="spellStart"/>
      <w:r w:rsidR="00B64F0D" w:rsidRPr="00597212">
        <w:t>pag</w:t>
      </w:r>
      <w:proofErr w:type="spellEnd"/>
      <w:r w:rsidR="00B64F0D" w:rsidRPr="00597212">
        <w:t xml:space="preserve"> 125), se citan una serie de principios copiados del anteproyecto de Ley de Transpare</w:t>
      </w:r>
      <w:r w:rsidR="00943D2C" w:rsidRPr="00597212">
        <w:t>ncia, pero no se concreta</w:t>
      </w:r>
      <w:r w:rsidR="00B64F0D" w:rsidRPr="00597212">
        <w:t>.</w:t>
      </w:r>
    </w:p>
    <w:p w:rsidR="006936DD" w:rsidRPr="00597212" w:rsidRDefault="00943D2C" w:rsidP="00E447B2">
      <w:pPr>
        <w:spacing w:after="0"/>
      </w:pPr>
      <w:r w:rsidRPr="00597212">
        <w:t>Tampoco hay actuaciones concretas</w:t>
      </w:r>
      <w:r w:rsidR="00B64F0D" w:rsidRPr="00597212">
        <w:t xml:space="preserve"> en lo referente a la participación, salvo </w:t>
      </w:r>
      <w:r w:rsidR="00897B93">
        <w:t>en el apartado 11</w:t>
      </w:r>
      <w:r w:rsidR="00003642" w:rsidRPr="00597212">
        <w:t xml:space="preserve"> que hace referencia al </w:t>
      </w:r>
      <w:r w:rsidR="00B64F0D" w:rsidRPr="00597212">
        <w:t>actual proceso para la a</w:t>
      </w:r>
      <w:r w:rsidRPr="00597212">
        <w:t>probación  del presente plan. N</w:t>
      </w:r>
      <w:r w:rsidR="00003642" w:rsidRPr="00597212">
        <w:t>o hay menciones</w:t>
      </w:r>
      <w:r w:rsidR="00A77E26" w:rsidRPr="00597212">
        <w:t xml:space="preserve"> a la participación </w:t>
      </w:r>
      <w:r w:rsidR="00003642" w:rsidRPr="00597212">
        <w:t>cuando se habla del seguimiento y control del Plan Director</w:t>
      </w:r>
    </w:p>
    <w:p w:rsidR="003C6388" w:rsidRPr="00597212" w:rsidRDefault="00A77E26" w:rsidP="00E447B2">
      <w:pPr>
        <w:spacing w:after="0"/>
      </w:pPr>
      <w:r w:rsidRPr="00597212">
        <w:t>Son temas  relevantes</w:t>
      </w:r>
      <w:r w:rsidR="00003642" w:rsidRPr="00597212">
        <w:t>, no sólo porque la DMA y otras normativas obliguen a ello, sino también por algunas malas prácticas que se han desarrollado en Navarra en los últimos años. Puede parecer fuerte decirlo, pero las sociedades anónimas de gestión que han creado algunas mancomunidades no han sido siempre ejemplo de transparencia, no sólo para el público y asociaciones ciudadanas, sino incluso para los representantes municipales. Ha funcionado una especie d</w:t>
      </w:r>
      <w:r w:rsidR="00943D2C" w:rsidRPr="00597212">
        <w:t xml:space="preserve">e tecnocracia y, </w:t>
      </w:r>
      <w:r w:rsidR="00003642" w:rsidRPr="00597212">
        <w:t xml:space="preserve"> aunque no haya ganas de hurgar en las malas prácticas de opacidad del pasado, sí que c</w:t>
      </w:r>
      <w:r w:rsidRPr="00597212">
        <w:t>onviene establecer medidas para que la aplicación del</w:t>
      </w:r>
      <w:r w:rsidR="00003642" w:rsidRPr="00597212">
        <w:t xml:space="preserve"> Plan</w:t>
      </w:r>
      <w:r w:rsidRPr="00597212">
        <w:t xml:space="preserve"> se realice con transparencia, </w:t>
      </w:r>
      <w:r w:rsidR="00003642" w:rsidRPr="00597212">
        <w:t xml:space="preserve"> </w:t>
      </w:r>
      <w:r w:rsidRPr="00597212">
        <w:t>para que asegure</w:t>
      </w:r>
      <w:r w:rsidR="00003642" w:rsidRPr="00597212">
        <w:t xml:space="preserve"> </w:t>
      </w:r>
      <w:r w:rsidR="009152F6" w:rsidRPr="00597212">
        <w:t>un mayor protagonismos de los municipios</w:t>
      </w:r>
      <w:r w:rsidRPr="00597212">
        <w:t xml:space="preserve"> en la gestión y </w:t>
      </w:r>
      <w:r w:rsidR="009152F6" w:rsidRPr="00597212">
        <w:t xml:space="preserve"> </w:t>
      </w:r>
      <w:r w:rsidRPr="00597212">
        <w:t>una</w:t>
      </w:r>
      <w:r w:rsidR="009152F6" w:rsidRPr="00597212">
        <w:t xml:space="preserve"> </w:t>
      </w:r>
      <w:r w:rsidR="00003642" w:rsidRPr="00597212">
        <w:t xml:space="preserve"> participación</w:t>
      </w:r>
      <w:r w:rsidRPr="00597212">
        <w:t xml:space="preserve"> real de  </w:t>
      </w:r>
      <w:r w:rsidR="009152F6" w:rsidRPr="00597212">
        <w:t xml:space="preserve"> las asociaciones ci</w:t>
      </w:r>
      <w:r w:rsidR="00897B93">
        <w:t>udadanas y el público interesado</w:t>
      </w:r>
      <w:r w:rsidRPr="00597212">
        <w:t xml:space="preserve"> en la aplicación y seguimiento del Plan</w:t>
      </w:r>
    </w:p>
    <w:p w:rsidR="006D6ECB" w:rsidRDefault="006D6ECB" w:rsidP="00943D2C">
      <w:pPr>
        <w:spacing w:after="0"/>
        <w:rPr>
          <w:b/>
          <w:color w:val="002060"/>
        </w:rPr>
      </w:pPr>
    </w:p>
    <w:p w:rsidR="00943D2C" w:rsidRPr="00D520BD" w:rsidRDefault="00943D2C" w:rsidP="00943D2C">
      <w:pPr>
        <w:spacing w:after="0"/>
        <w:rPr>
          <w:b/>
          <w:i/>
          <w:color w:val="002060"/>
          <w:u w:val="single"/>
        </w:rPr>
      </w:pPr>
      <w:r w:rsidRPr="00D520BD">
        <w:rPr>
          <w:b/>
          <w:i/>
          <w:color w:val="002060"/>
          <w:u w:val="single"/>
        </w:rPr>
        <w:t>Propuestas:</w:t>
      </w:r>
    </w:p>
    <w:p w:rsidR="003C0917" w:rsidRPr="006D6ECB" w:rsidRDefault="00943D2C" w:rsidP="006D6ECB">
      <w:pPr>
        <w:pStyle w:val="Prrafodelista"/>
        <w:numPr>
          <w:ilvl w:val="0"/>
          <w:numId w:val="8"/>
        </w:numPr>
        <w:spacing w:after="0"/>
        <w:rPr>
          <w:i/>
          <w:color w:val="002060"/>
        </w:rPr>
      </w:pPr>
      <w:r w:rsidRPr="006D6ECB">
        <w:rPr>
          <w:i/>
          <w:color w:val="002060"/>
        </w:rPr>
        <w:t>En el a</w:t>
      </w:r>
      <w:r w:rsidR="00A77E26" w:rsidRPr="006D6ECB">
        <w:rPr>
          <w:i/>
          <w:color w:val="002060"/>
        </w:rPr>
        <w:t xml:space="preserve">partado </w:t>
      </w:r>
      <w:r w:rsidR="00A77E26" w:rsidRPr="006D6ECB">
        <w:rPr>
          <w:i/>
          <w:color w:val="002060"/>
          <w:u w:val="single"/>
        </w:rPr>
        <w:t>6.3 Transparencia</w:t>
      </w:r>
      <w:r w:rsidR="00A77E26" w:rsidRPr="006D6ECB">
        <w:rPr>
          <w:i/>
          <w:color w:val="002060"/>
        </w:rPr>
        <w:t xml:space="preserve"> se incluirá: Las sociedades anónimas de gestión dependientes de las mancom</w:t>
      </w:r>
      <w:r w:rsidR="003C0917" w:rsidRPr="006D6ECB">
        <w:rPr>
          <w:i/>
          <w:color w:val="002060"/>
        </w:rPr>
        <w:t xml:space="preserve">unidades son sociedades públicas y  deberán cumplir con la normativa </w:t>
      </w:r>
      <w:r w:rsidR="00A77E26" w:rsidRPr="006D6ECB">
        <w:rPr>
          <w:i/>
          <w:color w:val="002060"/>
        </w:rPr>
        <w:t xml:space="preserve"> </w:t>
      </w:r>
      <w:r w:rsidR="003C0917" w:rsidRPr="006D6ECB">
        <w:rPr>
          <w:i/>
          <w:color w:val="002060"/>
        </w:rPr>
        <w:t xml:space="preserve">existente para las administraciones </w:t>
      </w:r>
      <w:r w:rsidR="00BC2838" w:rsidRPr="006D6ECB">
        <w:rPr>
          <w:i/>
          <w:color w:val="002060"/>
        </w:rPr>
        <w:t xml:space="preserve">públicas </w:t>
      </w:r>
      <w:r w:rsidR="003C0917" w:rsidRPr="006D6ECB">
        <w:rPr>
          <w:i/>
          <w:color w:val="002060"/>
        </w:rPr>
        <w:t xml:space="preserve">en materia de trasparencia y contratación pública. </w:t>
      </w:r>
    </w:p>
    <w:p w:rsidR="00A77E26" w:rsidRPr="006D6ECB" w:rsidRDefault="00A77E26" w:rsidP="006D6ECB">
      <w:pPr>
        <w:pStyle w:val="Prrafodelista"/>
        <w:numPr>
          <w:ilvl w:val="0"/>
          <w:numId w:val="8"/>
        </w:numPr>
        <w:spacing w:after="0"/>
        <w:rPr>
          <w:b/>
          <w:i/>
          <w:color w:val="002060"/>
        </w:rPr>
      </w:pPr>
      <w:r w:rsidRPr="006D6ECB">
        <w:rPr>
          <w:i/>
          <w:color w:val="002060"/>
        </w:rPr>
        <w:t xml:space="preserve">En el </w:t>
      </w:r>
      <w:r w:rsidRPr="006D6ECB">
        <w:rPr>
          <w:i/>
          <w:color w:val="002060"/>
          <w:u w:val="single"/>
        </w:rPr>
        <w:t>Apartado 9. Seguimiento y control del Plan Director</w:t>
      </w:r>
    </w:p>
    <w:p w:rsidR="00A77E26" w:rsidRPr="006D6ECB" w:rsidRDefault="00A77E26" w:rsidP="00A77E26">
      <w:pPr>
        <w:pStyle w:val="Prrafodelista"/>
        <w:numPr>
          <w:ilvl w:val="0"/>
          <w:numId w:val="2"/>
        </w:numPr>
        <w:spacing w:after="0"/>
        <w:rPr>
          <w:i/>
          <w:color w:val="002060"/>
        </w:rPr>
      </w:pPr>
      <w:r w:rsidRPr="006D6ECB">
        <w:rPr>
          <w:i/>
          <w:color w:val="002060"/>
        </w:rPr>
        <w:t>Se creará un órgano de seguimiento y control con participación de entidades local</w:t>
      </w:r>
      <w:r w:rsidR="00943D2C" w:rsidRPr="006D6ECB">
        <w:rPr>
          <w:i/>
          <w:color w:val="002060"/>
        </w:rPr>
        <w:t>es, asociaciones ciudadanas y pú</w:t>
      </w:r>
      <w:r w:rsidRPr="006D6ECB">
        <w:rPr>
          <w:i/>
          <w:color w:val="002060"/>
        </w:rPr>
        <w:t>blico interesado</w:t>
      </w:r>
      <w:r w:rsidR="00B34925" w:rsidRPr="006D6ECB">
        <w:rPr>
          <w:i/>
          <w:color w:val="002060"/>
        </w:rPr>
        <w:t xml:space="preserve"> (</w:t>
      </w:r>
      <w:r w:rsidRPr="006D6ECB">
        <w:rPr>
          <w:i/>
          <w:color w:val="002060"/>
        </w:rPr>
        <w:t>al igual que en el Plan de Residuos)</w:t>
      </w:r>
    </w:p>
    <w:p w:rsidR="00B34925" w:rsidRPr="006D6ECB" w:rsidRDefault="00B34925" w:rsidP="00A77E26">
      <w:pPr>
        <w:pStyle w:val="Prrafodelista"/>
        <w:numPr>
          <w:ilvl w:val="0"/>
          <w:numId w:val="2"/>
        </w:numPr>
        <w:spacing w:after="0"/>
        <w:rPr>
          <w:i/>
          <w:color w:val="002060"/>
        </w:rPr>
      </w:pPr>
      <w:r w:rsidRPr="006D6ECB">
        <w:rPr>
          <w:i/>
          <w:color w:val="002060"/>
        </w:rPr>
        <w:t>Se establecerán indicadores de seguim</w:t>
      </w:r>
      <w:r w:rsidR="00943D2C" w:rsidRPr="006D6ECB">
        <w:rPr>
          <w:i/>
          <w:color w:val="002060"/>
        </w:rPr>
        <w:t>i</w:t>
      </w:r>
      <w:r w:rsidRPr="006D6ECB">
        <w:rPr>
          <w:i/>
          <w:color w:val="002060"/>
        </w:rPr>
        <w:t>ento para medir la transparencia y la participación</w:t>
      </w:r>
    </w:p>
    <w:p w:rsidR="007E7945" w:rsidRPr="006D6ECB" w:rsidRDefault="007E7945" w:rsidP="007E7945">
      <w:pPr>
        <w:spacing w:after="0"/>
        <w:rPr>
          <w:i/>
        </w:rPr>
      </w:pPr>
    </w:p>
    <w:p w:rsidR="006D6ECB" w:rsidRDefault="006D6ECB">
      <w:pPr>
        <w:rPr>
          <w:b/>
        </w:rPr>
      </w:pPr>
      <w:r>
        <w:rPr>
          <w:b/>
        </w:rPr>
        <w:br w:type="page"/>
      </w:r>
    </w:p>
    <w:p w:rsidR="007E7945" w:rsidRPr="00597212" w:rsidRDefault="007E7945" w:rsidP="00597212">
      <w:pPr>
        <w:rPr>
          <w:b/>
        </w:rPr>
      </w:pPr>
      <w:r w:rsidRPr="00597212">
        <w:rPr>
          <w:b/>
        </w:rPr>
        <w:lastRenderedPageBreak/>
        <w:t>PROPUESTAS POR ZONAS</w:t>
      </w:r>
    </w:p>
    <w:p w:rsidR="007E7945" w:rsidRDefault="007E7945" w:rsidP="007E7945">
      <w:pPr>
        <w:spacing w:after="0"/>
      </w:pPr>
      <w:r w:rsidRPr="00597212">
        <w:t>El Plan establece actuaciones por zonas. Hacemos propuestas para las zonas de la mitad sur de Navarra.</w:t>
      </w:r>
    </w:p>
    <w:p w:rsidR="00DA5F93" w:rsidRPr="00597212" w:rsidRDefault="00DA5F93" w:rsidP="007E7945">
      <w:pPr>
        <w:spacing w:after="0"/>
      </w:pPr>
    </w:p>
    <w:p w:rsidR="007E7945" w:rsidRPr="00D520BD" w:rsidRDefault="007E7945" w:rsidP="007E7945">
      <w:pPr>
        <w:spacing w:after="0"/>
        <w:rPr>
          <w:b/>
          <w:i/>
          <w:color w:val="002060"/>
          <w:u w:val="single"/>
        </w:rPr>
      </w:pPr>
      <w:r w:rsidRPr="00D520BD">
        <w:rPr>
          <w:b/>
          <w:i/>
          <w:color w:val="002060"/>
          <w:u w:val="single"/>
        </w:rPr>
        <w:t xml:space="preserve">Zona 14-15. </w:t>
      </w:r>
      <w:proofErr w:type="gramStart"/>
      <w:r w:rsidRPr="00D520BD">
        <w:rPr>
          <w:b/>
          <w:i/>
          <w:color w:val="002060"/>
          <w:u w:val="single"/>
        </w:rPr>
        <w:t>Zona media y bajos</w:t>
      </w:r>
      <w:proofErr w:type="gramEnd"/>
      <w:r w:rsidRPr="00D520BD">
        <w:rPr>
          <w:b/>
          <w:i/>
          <w:color w:val="002060"/>
          <w:u w:val="single"/>
        </w:rPr>
        <w:t xml:space="preserve"> Arga y Aragón (Mancomunidad Mairaga)</w:t>
      </w:r>
      <w:r w:rsidR="00430A7F" w:rsidRPr="00D520BD">
        <w:rPr>
          <w:b/>
          <w:i/>
          <w:color w:val="002060"/>
          <w:u w:val="single"/>
        </w:rPr>
        <w:t>. Propuestas:</w:t>
      </w:r>
    </w:p>
    <w:p w:rsidR="00430A7F" w:rsidRPr="006D6ECB" w:rsidRDefault="00430A7F" w:rsidP="006D6ECB">
      <w:pPr>
        <w:pStyle w:val="Prrafodelista"/>
        <w:numPr>
          <w:ilvl w:val="0"/>
          <w:numId w:val="5"/>
        </w:numPr>
        <w:spacing w:after="0"/>
        <w:rPr>
          <w:i/>
          <w:color w:val="002060"/>
        </w:rPr>
      </w:pPr>
      <w:r w:rsidRPr="006D6ECB">
        <w:rPr>
          <w:i/>
          <w:color w:val="002060"/>
        </w:rPr>
        <w:t xml:space="preserve">Revisión de las previsiones de consumo para 2030 (cuadro </w:t>
      </w:r>
      <w:proofErr w:type="spellStart"/>
      <w:r w:rsidRPr="006D6ECB">
        <w:rPr>
          <w:i/>
          <w:color w:val="002060"/>
        </w:rPr>
        <w:t>pag</w:t>
      </w:r>
      <w:proofErr w:type="spellEnd"/>
      <w:r w:rsidRPr="006D6ECB">
        <w:rPr>
          <w:i/>
          <w:color w:val="002060"/>
        </w:rPr>
        <w:t>. 65) en el que se plantean incrementos cercanos al 30% para industria y de 20% para Otros.</w:t>
      </w:r>
      <w:r w:rsidR="00145DF5" w:rsidRPr="006D6ECB">
        <w:rPr>
          <w:i/>
          <w:color w:val="002060"/>
        </w:rPr>
        <w:t xml:space="preserve"> Revisión del porcentaje de ACR </w:t>
      </w:r>
      <w:r w:rsidR="00BC2838" w:rsidRPr="006D6ECB">
        <w:rPr>
          <w:i/>
          <w:color w:val="002060"/>
        </w:rPr>
        <w:t xml:space="preserve">que, en cumplimiento </w:t>
      </w:r>
      <w:r w:rsidR="00145DF5" w:rsidRPr="006D6ECB">
        <w:rPr>
          <w:i/>
          <w:color w:val="002060"/>
        </w:rPr>
        <w:t>de los objetivos del plan</w:t>
      </w:r>
      <w:r w:rsidR="00BC2838" w:rsidRPr="006D6ECB">
        <w:rPr>
          <w:i/>
          <w:color w:val="002060"/>
        </w:rPr>
        <w:t>,  deberían ser menores</w:t>
      </w:r>
      <w:r w:rsidR="00145DF5" w:rsidRPr="006D6ECB">
        <w:rPr>
          <w:rStyle w:val="Refdenotaalpie"/>
          <w:i/>
          <w:color w:val="002060"/>
        </w:rPr>
        <w:footnoteReference w:id="3"/>
      </w:r>
      <w:r w:rsidR="00B45EAD" w:rsidRPr="006D6ECB">
        <w:rPr>
          <w:i/>
          <w:color w:val="002060"/>
        </w:rPr>
        <w:t xml:space="preserve"> y en función de los estudios y actuaciones que se proponen </w:t>
      </w:r>
      <w:proofErr w:type="spellStart"/>
      <w:r w:rsidR="00B45EAD" w:rsidRPr="006D6ECB">
        <w:rPr>
          <w:i/>
          <w:color w:val="002060"/>
        </w:rPr>
        <w:t>anteriormete</w:t>
      </w:r>
      <w:proofErr w:type="spellEnd"/>
      <w:r w:rsidR="00B45EAD" w:rsidRPr="006D6ECB">
        <w:rPr>
          <w:i/>
          <w:color w:val="002060"/>
        </w:rPr>
        <w:t>.</w:t>
      </w:r>
    </w:p>
    <w:p w:rsidR="00430A7F" w:rsidRPr="006D6ECB" w:rsidRDefault="00430A7F" w:rsidP="006D6ECB">
      <w:pPr>
        <w:pStyle w:val="Prrafodelista"/>
        <w:numPr>
          <w:ilvl w:val="0"/>
          <w:numId w:val="5"/>
        </w:numPr>
        <w:spacing w:after="0"/>
        <w:rPr>
          <w:i/>
          <w:color w:val="002060"/>
        </w:rPr>
      </w:pPr>
      <w:r w:rsidRPr="006D6ECB">
        <w:rPr>
          <w:i/>
          <w:color w:val="002060"/>
        </w:rPr>
        <w:t>Mantenimiento del abastecimiento desde la acequia de Navarra (Yesa) de los municipios del bajo</w:t>
      </w:r>
      <w:r w:rsidR="00145DF5" w:rsidRPr="006D6ECB">
        <w:rPr>
          <w:i/>
          <w:color w:val="002060"/>
        </w:rPr>
        <w:t xml:space="preserve"> Aragón, que van a permitir una mayor diversificación de fuentes.</w:t>
      </w:r>
    </w:p>
    <w:p w:rsidR="00430A7F" w:rsidRPr="006D6ECB" w:rsidRDefault="00430A7F" w:rsidP="006D6ECB">
      <w:pPr>
        <w:pStyle w:val="Prrafodelista"/>
        <w:numPr>
          <w:ilvl w:val="0"/>
          <w:numId w:val="5"/>
        </w:numPr>
        <w:spacing w:after="0"/>
        <w:rPr>
          <w:i/>
          <w:color w:val="002060"/>
        </w:rPr>
      </w:pPr>
      <w:r w:rsidRPr="006D6ECB">
        <w:rPr>
          <w:i/>
          <w:color w:val="002060"/>
        </w:rPr>
        <w:t>Mantenimiento de los pozos aluviales de los municipios de la Ribera del Arga para destinarlos a usos que requieren menor calidad (riegos de jardines, limpieza calles, agroindustria,…)</w:t>
      </w:r>
      <w:r w:rsidR="00234D39" w:rsidRPr="006D6ECB">
        <w:rPr>
          <w:i/>
          <w:color w:val="002060"/>
        </w:rPr>
        <w:t>. Protección de la fuentes</w:t>
      </w:r>
    </w:p>
    <w:p w:rsidR="00B63CBF" w:rsidRPr="006D6ECB" w:rsidRDefault="00B63CBF" w:rsidP="006D6ECB">
      <w:pPr>
        <w:pStyle w:val="Prrafodelista"/>
        <w:numPr>
          <w:ilvl w:val="0"/>
          <w:numId w:val="5"/>
        </w:numPr>
        <w:spacing w:after="0"/>
        <w:rPr>
          <w:i/>
          <w:color w:val="002060"/>
        </w:rPr>
      </w:pPr>
      <w:r w:rsidRPr="006D6ECB">
        <w:rPr>
          <w:i/>
          <w:color w:val="002060"/>
        </w:rPr>
        <w:t xml:space="preserve">Uso </w:t>
      </w:r>
      <w:r w:rsidR="00234D39" w:rsidRPr="006D6ECB">
        <w:rPr>
          <w:i/>
          <w:color w:val="002060"/>
        </w:rPr>
        <w:t xml:space="preserve">de las aguas </w:t>
      </w:r>
      <w:r w:rsidRPr="006D6ECB">
        <w:rPr>
          <w:i/>
          <w:color w:val="002060"/>
        </w:rPr>
        <w:t>del Canal de Navarra para el resto de las demandas, replanteando la necesidad de la fase 2 de la ETAP</w:t>
      </w:r>
    </w:p>
    <w:p w:rsidR="00145DF5" w:rsidRPr="00DA5F93" w:rsidRDefault="00145DF5" w:rsidP="00145DF5">
      <w:pPr>
        <w:spacing w:after="0"/>
        <w:rPr>
          <w:color w:val="002060"/>
        </w:rPr>
      </w:pPr>
    </w:p>
    <w:p w:rsidR="00145DF5" w:rsidRPr="00D520BD" w:rsidRDefault="00145DF5" w:rsidP="00145DF5">
      <w:pPr>
        <w:spacing w:after="0"/>
        <w:rPr>
          <w:b/>
          <w:i/>
          <w:color w:val="002060"/>
          <w:u w:val="single"/>
        </w:rPr>
      </w:pPr>
      <w:r w:rsidRPr="00D520BD">
        <w:rPr>
          <w:b/>
          <w:i/>
          <w:color w:val="002060"/>
          <w:u w:val="single"/>
        </w:rPr>
        <w:t>Zona 12.- Montejurra. Propuestas:</w:t>
      </w:r>
    </w:p>
    <w:p w:rsidR="00145DF5" w:rsidRPr="006D6ECB" w:rsidRDefault="00BC2838" w:rsidP="006D6ECB">
      <w:pPr>
        <w:pStyle w:val="Prrafodelista"/>
        <w:numPr>
          <w:ilvl w:val="0"/>
          <w:numId w:val="6"/>
        </w:numPr>
        <w:spacing w:after="0"/>
        <w:rPr>
          <w:i/>
          <w:color w:val="002060"/>
        </w:rPr>
      </w:pPr>
      <w:r w:rsidRPr="006D6ECB">
        <w:rPr>
          <w:i/>
          <w:color w:val="002060"/>
        </w:rPr>
        <w:t>Tener en cuenta el Estudio H</w:t>
      </w:r>
      <w:r w:rsidR="00B63CBF" w:rsidRPr="006D6ECB">
        <w:rPr>
          <w:i/>
          <w:color w:val="002060"/>
        </w:rPr>
        <w:t>idr</w:t>
      </w:r>
      <w:r w:rsidRPr="006D6ECB">
        <w:rPr>
          <w:i/>
          <w:color w:val="002060"/>
        </w:rPr>
        <w:t>ológico del Ega y el Estudio de Caudales E</w:t>
      </w:r>
      <w:r w:rsidR="00B63CBF" w:rsidRPr="006D6ECB">
        <w:rPr>
          <w:i/>
          <w:color w:val="002060"/>
        </w:rPr>
        <w:t xml:space="preserve">cológicos para establecer los caudales máximos extraíbles de los pozos de </w:t>
      </w:r>
      <w:proofErr w:type="spellStart"/>
      <w:r w:rsidR="00B63CBF" w:rsidRPr="006D6ECB">
        <w:rPr>
          <w:i/>
          <w:color w:val="002060"/>
        </w:rPr>
        <w:t>Lokiz</w:t>
      </w:r>
      <w:proofErr w:type="spellEnd"/>
      <w:r w:rsidR="00B45EAD" w:rsidRPr="006D6ECB">
        <w:rPr>
          <w:i/>
          <w:color w:val="002060"/>
        </w:rPr>
        <w:t xml:space="preserve"> sin perjudicar el estado del río Ega</w:t>
      </w:r>
      <w:r w:rsidR="00B63CBF" w:rsidRPr="006D6ECB">
        <w:rPr>
          <w:i/>
          <w:color w:val="002060"/>
        </w:rPr>
        <w:t>.</w:t>
      </w:r>
    </w:p>
    <w:p w:rsidR="00DA5F93" w:rsidRPr="006D6ECB" w:rsidRDefault="00DA5F93" w:rsidP="006D6ECB">
      <w:pPr>
        <w:pStyle w:val="Prrafodelista"/>
        <w:numPr>
          <w:ilvl w:val="0"/>
          <w:numId w:val="6"/>
        </w:numPr>
        <w:spacing w:after="0"/>
        <w:rPr>
          <w:i/>
          <w:color w:val="002060"/>
        </w:rPr>
      </w:pPr>
      <w:r w:rsidRPr="006D6ECB">
        <w:rPr>
          <w:i/>
          <w:color w:val="002060"/>
        </w:rPr>
        <w:t>Replantear el proyecto de abastecimiento de la Ribera de Estella, ya que se rechazó el anterior PSIS y no hay concesiones de la CHE</w:t>
      </w:r>
    </w:p>
    <w:p w:rsidR="006D6ECB" w:rsidRPr="006D6ECB" w:rsidRDefault="00B63CBF" w:rsidP="006D6ECB">
      <w:pPr>
        <w:pStyle w:val="Prrafodelista"/>
        <w:numPr>
          <w:ilvl w:val="0"/>
          <w:numId w:val="6"/>
        </w:numPr>
        <w:spacing w:after="0"/>
        <w:rPr>
          <w:i/>
          <w:color w:val="002060"/>
        </w:rPr>
      </w:pPr>
      <w:r w:rsidRPr="006D6ECB">
        <w:rPr>
          <w:i/>
          <w:color w:val="002060"/>
        </w:rPr>
        <w:t xml:space="preserve">Revisión de las previsiones de consumo para 2030 (cuadro </w:t>
      </w:r>
      <w:proofErr w:type="spellStart"/>
      <w:r w:rsidRPr="006D6ECB">
        <w:rPr>
          <w:i/>
          <w:color w:val="002060"/>
        </w:rPr>
        <w:t>pag</w:t>
      </w:r>
      <w:proofErr w:type="spellEnd"/>
      <w:r w:rsidRPr="006D6ECB">
        <w:rPr>
          <w:i/>
          <w:color w:val="002060"/>
        </w:rPr>
        <w:t>. 65) en el que se plantean incrementos del 20% para industria y de 10% para Otros.</w:t>
      </w:r>
      <w:r w:rsidR="00B45EAD" w:rsidRPr="006D6ECB">
        <w:rPr>
          <w:i/>
          <w:color w:val="002060"/>
        </w:rPr>
        <w:t xml:space="preserve"> Revisión del porcentaje de ACR, </w:t>
      </w:r>
      <w:r w:rsidR="006D6ECB" w:rsidRPr="006D6ECB">
        <w:rPr>
          <w:i/>
          <w:color w:val="002060"/>
        </w:rPr>
        <w:t xml:space="preserve">que según los objetivos del Plan deberían ser inferiores y </w:t>
      </w:r>
      <w:r w:rsidR="00B45EAD" w:rsidRPr="006D6ECB">
        <w:rPr>
          <w:i/>
          <w:color w:val="002060"/>
        </w:rPr>
        <w:t xml:space="preserve">en función de los estudios y actuaciones propuestos. </w:t>
      </w:r>
    </w:p>
    <w:p w:rsidR="00B63CBF" w:rsidRPr="006D6ECB" w:rsidRDefault="00B63CBF" w:rsidP="006D6ECB">
      <w:pPr>
        <w:pStyle w:val="Prrafodelista"/>
        <w:numPr>
          <w:ilvl w:val="0"/>
          <w:numId w:val="6"/>
        </w:numPr>
        <w:spacing w:after="0"/>
        <w:rPr>
          <w:i/>
          <w:color w:val="002060"/>
        </w:rPr>
      </w:pPr>
      <w:r w:rsidRPr="006D6ECB">
        <w:rPr>
          <w:i/>
          <w:color w:val="002060"/>
        </w:rPr>
        <w:t>Mantenimiento de los pozos aluviales de los municipios de la Ribera de Estella para destinarlos a usos que requieren menor calidad (riegos de jardines, limpieza calles, agroindustria,…)</w:t>
      </w:r>
      <w:r w:rsidR="00234D39" w:rsidRPr="006D6ECB">
        <w:rPr>
          <w:i/>
          <w:color w:val="002060"/>
        </w:rPr>
        <w:t>. Protección de las fuentes.</w:t>
      </w:r>
    </w:p>
    <w:p w:rsidR="00234D39" w:rsidRPr="006D6ECB" w:rsidRDefault="00234D39" w:rsidP="006D6ECB">
      <w:pPr>
        <w:pStyle w:val="Prrafodelista"/>
        <w:numPr>
          <w:ilvl w:val="0"/>
          <w:numId w:val="6"/>
        </w:numPr>
        <w:spacing w:after="0"/>
        <w:rPr>
          <w:i/>
          <w:color w:val="002060"/>
        </w:rPr>
      </w:pPr>
      <w:r w:rsidRPr="006D6ECB">
        <w:rPr>
          <w:i/>
          <w:color w:val="002060"/>
        </w:rPr>
        <w:t xml:space="preserve">Uso de las aguas del Canal de Navarra y de los acuíferos de </w:t>
      </w:r>
      <w:proofErr w:type="spellStart"/>
      <w:r w:rsidRPr="006D6ECB">
        <w:rPr>
          <w:i/>
          <w:color w:val="002060"/>
        </w:rPr>
        <w:t>Lokiz</w:t>
      </w:r>
      <w:proofErr w:type="spellEnd"/>
      <w:r w:rsidRPr="006D6ECB">
        <w:rPr>
          <w:i/>
          <w:color w:val="002060"/>
        </w:rPr>
        <w:t xml:space="preserve"> teniendo en consideración los puntos anteriores</w:t>
      </w:r>
    </w:p>
    <w:p w:rsidR="00B63CBF" w:rsidRPr="00DA5F93" w:rsidRDefault="00B63CBF" w:rsidP="00B63CBF">
      <w:pPr>
        <w:spacing w:after="0"/>
        <w:rPr>
          <w:color w:val="002060"/>
        </w:rPr>
      </w:pPr>
    </w:p>
    <w:p w:rsidR="00B63CBF" w:rsidRPr="00D520BD" w:rsidRDefault="00B63CBF" w:rsidP="00B63CBF">
      <w:pPr>
        <w:spacing w:after="0"/>
        <w:rPr>
          <w:b/>
          <w:i/>
          <w:color w:val="002060"/>
          <w:u w:val="single"/>
        </w:rPr>
      </w:pPr>
      <w:r w:rsidRPr="00D520BD">
        <w:rPr>
          <w:b/>
          <w:i/>
          <w:color w:val="002060"/>
          <w:u w:val="single"/>
        </w:rPr>
        <w:t>Zona 16.- Ribera sur</w:t>
      </w:r>
    </w:p>
    <w:p w:rsidR="00234D39" w:rsidRPr="006D6ECB" w:rsidRDefault="00234D39" w:rsidP="006D6ECB">
      <w:pPr>
        <w:pStyle w:val="Prrafodelista"/>
        <w:numPr>
          <w:ilvl w:val="0"/>
          <w:numId w:val="7"/>
        </w:numPr>
        <w:spacing w:after="0"/>
        <w:rPr>
          <w:i/>
          <w:color w:val="002060"/>
        </w:rPr>
      </w:pPr>
      <w:r w:rsidRPr="006D6ECB">
        <w:rPr>
          <w:i/>
          <w:color w:val="002060"/>
        </w:rPr>
        <w:t xml:space="preserve">Revisión de las previsiones de consumo para 2030 (cuadro </w:t>
      </w:r>
      <w:proofErr w:type="spellStart"/>
      <w:r w:rsidRPr="006D6ECB">
        <w:rPr>
          <w:i/>
          <w:color w:val="002060"/>
        </w:rPr>
        <w:t>pag</w:t>
      </w:r>
      <w:proofErr w:type="spellEnd"/>
      <w:r w:rsidRPr="006D6ECB">
        <w:rPr>
          <w:i/>
          <w:color w:val="002060"/>
        </w:rPr>
        <w:t>. 65) en el que se plantean incrementos cercanos al 122% para industria y de 10% para Otros.</w:t>
      </w:r>
    </w:p>
    <w:p w:rsidR="00E04787" w:rsidRPr="006D6ECB" w:rsidRDefault="00234D39" w:rsidP="006D6ECB">
      <w:pPr>
        <w:pStyle w:val="Prrafodelista"/>
        <w:numPr>
          <w:ilvl w:val="0"/>
          <w:numId w:val="7"/>
        </w:numPr>
        <w:spacing w:after="0"/>
        <w:rPr>
          <w:i/>
          <w:color w:val="002060"/>
        </w:rPr>
      </w:pPr>
      <w:r w:rsidRPr="006D6ECB">
        <w:rPr>
          <w:i/>
          <w:color w:val="002060"/>
        </w:rPr>
        <w:t xml:space="preserve">Mantenimiento de los abastecimientos desde </w:t>
      </w:r>
      <w:r w:rsidR="006D6ECB" w:rsidRPr="006D6ECB">
        <w:rPr>
          <w:i/>
          <w:color w:val="002060"/>
        </w:rPr>
        <w:t xml:space="preserve">el Ferial y </w:t>
      </w:r>
      <w:r w:rsidRPr="006D6ECB">
        <w:rPr>
          <w:i/>
          <w:color w:val="002060"/>
        </w:rPr>
        <w:t>el río Queiles</w:t>
      </w:r>
      <w:r w:rsidR="006D6ECB" w:rsidRPr="006D6ECB">
        <w:rPr>
          <w:i/>
          <w:color w:val="002060"/>
        </w:rPr>
        <w:t>, mejorando las captaciones de este último.</w:t>
      </w:r>
    </w:p>
    <w:p w:rsidR="00234D39" w:rsidRPr="006D6ECB" w:rsidRDefault="00234D39" w:rsidP="006D6ECB">
      <w:pPr>
        <w:pStyle w:val="Prrafodelista"/>
        <w:numPr>
          <w:ilvl w:val="0"/>
          <w:numId w:val="7"/>
        </w:numPr>
        <w:spacing w:after="0"/>
        <w:rPr>
          <w:i/>
          <w:color w:val="002060"/>
        </w:rPr>
      </w:pPr>
      <w:r w:rsidRPr="006D6ECB">
        <w:rPr>
          <w:i/>
          <w:color w:val="002060"/>
        </w:rPr>
        <w:t>Mante</w:t>
      </w:r>
      <w:r w:rsidR="00E04787" w:rsidRPr="006D6ECB">
        <w:rPr>
          <w:i/>
          <w:color w:val="002060"/>
        </w:rPr>
        <w:t xml:space="preserve">nimiento de los pozos aluviales, </w:t>
      </w:r>
      <w:r w:rsidR="007F43B6" w:rsidRPr="006D6ECB">
        <w:rPr>
          <w:i/>
          <w:color w:val="002060"/>
        </w:rPr>
        <w:t xml:space="preserve">  </w:t>
      </w:r>
      <w:r w:rsidR="00E04787" w:rsidRPr="006D6ECB">
        <w:rPr>
          <w:i/>
          <w:color w:val="002060"/>
        </w:rPr>
        <w:t xml:space="preserve">tomas de canales y Ebro </w:t>
      </w:r>
      <w:r w:rsidRPr="006D6ECB">
        <w:rPr>
          <w:i/>
          <w:color w:val="002060"/>
        </w:rPr>
        <w:t>para destinarlos a usos que requieren menor calidad (riegos de jardines, limpieza calles, agroindustria,…)</w:t>
      </w:r>
    </w:p>
    <w:p w:rsidR="009E3292" w:rsidRPr="006D6ECB" w:rsidRDefault="009E3292" w:rsidP="00A553BB">
      <w:pPr>
        <w:pStyle w:val="Prrafodelista"/>
        <w:spacing w:after="0"/>
        <w:ind w:left="360"/>
        <w:rPr>
          <w:i/>
          <w:color w:val="002060"/>
        </w:rPr>
      </w:pPr>
      <w:bookmarkStart w:id="0" w:name="_GoBack"/>
      <w:bookmarkEnd w:id="0"/>
    </w:p>
    <w:sectPr w:rsidR="009E3292" w:rsidRPr="006D6ECB" w:rsidSect="005972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E7" w:rsidRDefault="00227EE7" w:rsidP="00001B46">
      <w:pPr>
        <w:spacing w:after="0" w:line="240" w:lineRule="auto"/>
      </w:pPr>
      <w:r>
        <w:separator/>
      </w:r>
    </w:p>
  </w:endnote>
  <w:endnote w:type="continuationSeparator" w:id="0">
    <w:p w:rsidR="00227EE7" w:rsidRDefault="00227EE7" w:rsidP="0000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E7" w:rsidRDefault="00227EE7" w:rsidP="00001B46">
      <w:pPr>
        <w:spacing w:after="0" w:line="240" w:lineRule="auto"/>
      </w:pPr>
      <w:r>
        <w:separator/>
      </w:r>
    </w:p>
  </w:footnote>
  <w:footnote w:type="continuationSeparator" w:id="0">
    <w:p w:rsidR="00227EE7" w:rsidRDefault="00227EE7" w:rsidP="00001B46">
      <w:pPr>
        <w:spacing w:after="0" w:line="240" w:lineRule="auto"/>
      </w:pPr>
      <w:r>
        <w:continuationSeparator/>
      </w:r>
    </w:p>
  </w:footnote>
  <w:footnote w:id="1">
    <w:p w:rsidR="005B54CF" w:rsidRDefault="005B54CF">
      <w:pPr>
        <w:pStyle w:val="Textonotapie"/>
      </w:pPr>
      <w:r>
        <w:rPr>
          <w:rStyle w:val="Refdenotaalpie"/>
        </w:rPr>
        <w:footnoteRef/>
      </w:r>
      <w:r>
        <w:t xml:space="preserve"> La plataforma URA Nueva cultura del agua en Navarra es </w:t>
      </w:r>
      <w:proofErr w:type="spellStart"/>
      <w:r>
        <w:t>tá</w:t>
      </w:r>
      <w:proofErr w:type="spellEnd"/>
      <w:r>
        <w:t xml:space="preserve"> en proceso de legalización adoptando</w:t>
      </w:r>
    </w:p>
  </w:footnote>
  <w:footnote w:id="2">
    <w:p w:rsidR="00D651BE" w:rsidRPr="00865229" w:rsidRDefault="00D651BE" w:rsidP="00D651BE">
      <w:pPr>
        <w:pStyle w:val="Prrafodelista"/>
        <w:spacing w:after="0"/>
        <w:ind w:left="360"/>
        <w:rPr>
          <w:sz w:val="20"/>
          <w:szCs w:val="20"/>
        </w:rPr>
      </w:pPr>
      <w:r>
        <w:rPr>
          <w:rStyle w:val="Refdenotaalpie"/>
        </w:rPr>
        <w:footnoteRef/>
      </w:r>
      <w:r>
        <w:t xml:space="preserve"> </w:t>
      </w:r>
      <w:r w:rsidRPr="00865229">
        <w:rPr>
          <w:b/>
          <w:sz w:val="20"/>
          <w:szCs w:val="20"/>
        </w:rPr>
        <w:t>Eliminación de fuentes de calidad a favor del Canal de Navarra</w:t>
      </w:r>
    </w:p>
    <w:p w:rsidR="00D651BE" w:rsidRPr="00865229" w:rsidRDefault="00D651BE" w:rsidP="00D651BE">
      <w:pPr>
        <w:pStyle w:val="Prrafodelista"/>
        <w:numPr>
          <w:ilvl w:val="0"/>
          <w:numId w:val="1"/>
        </w:numPr>
        <w:spacing w:after="0"/>
        <w:rPr>
          <w:sz w:val="20"/>
          <w:szCs w:val="20"/>
        </w:rPr>
      </w:pPr>
      <w:proofErr w:type="spellStart"/>
      <w:r w:rsidRPr="00865229">
        <w:rPr>
          <w:sz w:val="20"/>
          <w:szCs w:val="20"/>
        </w:rPr>
        <w:t>Lumbier</w:t>
      </w:r>
      <w:proofErr w:type="spellEnd"/>
      <w:r w:rsidRPr="00865229">
        <w:rPr>
          <w:sz w:val="20"/>
          <w:szCs w:val="20"/>
        </w:rPr>
        <w:t xml:space="preserve">.  Abastecimiento desde Itoiz cuando disponen del manantial de </w:t>
      </w:r>
      <w:proofErr w:type="spellStart"/>
      <w:r w:rsidRPr="00865229">
        <w:rPr>
          <w:sz w:val="20"/>
          <w:szCs w:val="20"/>
        </w:rPr>
        <w:t>Arbaiun</w:t>
      </w:r>
      <w:proofErr w:type="spellEnd"/>
      <w:r w:rsidRPr="00865229">
        <w:rPr>
          <w:sz w:val="20"/>
          <w:szCs w:val="20"/>
        </w:rPr>
        <w:t>,</w:t>
      </w:r>
    </w:p>
    <w:p w:rsidR="00D651BE" w:rsidRPr="00865229" w:rsidRDefault="00D651BE" w:rsidP="00D651BE">
      <w:pPr>
        <w:pStyle w:val="Prrafodelista"/>
        <w:numPr>
          <w:ilvl w:val="0"/>
          <w:numId w:val="1"/>
        </w:numPr>
        <w:spacing w:after="0"/>
        <w:rPr>
          <w:sz w:val="20"/>
          <w:szCs w:val="20"/>
        </w:rPr>
      </w:pPr>
      <w:r w:rsidRPr="00865229">
        <w:rPr>
          <w:sz w:val="20"/>
          <w:szCs w:val="20"/>
        </w:rPr>
        <w:t>MCP. ETAP de Tiebas sobredimensionada, ha habido intentos (puede comprobarse en las medidas del PHCE) de destinar Eugi para dilución con el fin de aumentar los consumos de Tiebas.</w:t>
      </w:r>
      <w:r w:rsidR="00897B93">
        <w:rPr>
          <w:sz w:val="20"/>
          <w:szCs w:val="20"/>
        </w:rPr>
        <w:t xml:space="preserve"> Cierre de Lanz y </w:t>
      </w:r>
      <w:proofErr w:type="spellStart"/>
      <w:r w:rsidR="00897B93">
        <w:rPr>
          <w:sz w:val="20"/>
          <w:szCs w:val="20"/>
        </w:rPr>
        <w:t>Subiza</w:t>
      </w:r>
      <w:proofErr w:type="spellEnd"/>
      <w:r w:rsidR="00897B93">
        <w:rPr>
          <w:sz w:val="20"/>
          <w:szCs w:val="20"/>
        </w:rPr>
        <w:t>.</w:t>
      </w:r>
    </w:p>
    <w:p w:rsidR="00D651BE" w:rsidRPr="00865229" w:rsidRDefault="00D651BE" w:rsidP="00D651BE">
      <w:pPr>
        <w:pStyle w:val="Prrafodelista"/>
        <w:numPr>
          <w:ilvl w:val="0"/>
          <w:numId w:val="1"/>
        </w:numPr>
        <w:spacing w:after="0"/>
        <w:rPr>
          <w:sz w:val="20"/>
          <w:szCs w:val="20"/>
        </w:rPr>
      </w:pPr>
      <w:r w:rsidRPr="00865229">
        <w:rPr>
          <w:sz w:val="20"/>
          <w:szCs w:val="20"/>
        </w:rPr>
        <w:t xml:space="preserve">Mancomunidad de Mairaga. Ha habido intentos serios de cerrar el embalse de Mairaga a favor de las aguas del Canal. </w:t>
      </w:r>
    </w:p>
    <w:p w:rsidR="00D651BE" w:rsidRPr="00865229" w:rsidRDefault="00D651BE" w:rsidP="00D651BE">
      <w:pPr>
        <w:pStyle w:val="Prrafodelista"/>
        <w:numPr>
          <w:ilvl w:val="0"/>
          <w:numId w:val="1"/>
        </w:numPr>
        <w:spacing w:after="0"/>
        <w:rPr>
          <w:sz w:val="20"/>
          <w:szCs w:val="20"/>
        </w:rPr>
      </w:pPr>
      <w:r w:rsidRPr="00865229">
        <w:rPr>
          <w:sz w:val="20"/>
          <w:szCs w:val="20"/>
        </w:rPr>
        <w:t xml:space="preserve">Ribera del Aragón. Los municipios de </w:t>
      </w:r>
      <w:proofErr w:type="spellStart"/>
      <w:r w:rsidRPr="00865229">
        <w:rPr>
          <w:sz w:val="20"/>
          <w:szCs w:val="20"/>
        </w:rPr>
        <w:t>Carcastillo</w:t>
      </w:r>
      <w:proofErr w:type="spellEnd"/>
      <w:r w:rsidRPr="00865229">
        <w:rPr>
          <w:sz w:val="20"/>
          <w:szCs w:val="20"/>
        </w:rPr>
        <w:t xml:space="preserve">, Murillo, </w:t>
      </w:r>
      <w:proofErr w:type="spellStart"/>
      <w:r w:rsidRPr="00865229">
        <w:rPr>
          <w:sz w:val="20"/>
          <w:szCs w:val="20"/>
        </w:rPr>
        <w:t>Mélida</w:t>
      </w:r>
      <w:proofErr w:type="spellEnd"/>
      <w:r w:rsidRPr="00865229">
        <w:rPr>
          <w:sz w:val="20"/>
          <w:szCs w:val="20"/>
        </w:rPr>
        <w:t xml:space="preserve">, </w:t>
      </w:r>
      <w:proofErr w:type="spellStart"/>
      <w:r w:rsidRPr="00865229">
        <w:rPr>
          <w:sz w:val="20"/>
          <w:szCs w:val="20"/>
        </w:rPr>
        <w:t>Santacara</w:t>
      </w:r>
      <w:proofErr w:type="spellEnd"/>
      <w:r w:rsidRPr="00865229">
        <w:rPr>
          <w:sz w:val="20"/>
          <w:szCs w:val="20"/>
        </w:rPr>
        <w:t xml:space="preserve"> y Caparroso todavía se abastecen con agua bruta de calidad provenientes de Yesa y sin necesidad ya se han construido las conducciones para conectar con la ETAP de la Pedrera con aguas del Canal. Este Plan no informa de este hecho y da por hecho que se suministran del Canal </w:t>
      </w:r>
    </w:p>
    <w:p w:rsidR="00D651BE" w:rsidRPr="00865229" w:rsidRDefault="00D651BE" w:rsidP="00D651BE">
      <w:pPr>
        <w:pStyle w:val="Prrafodelista"/>
        <w:numPr>
          <w:ilvl w:val="0"/>
          <w:numId w:val="1"/>
        </w:numPr>
        <w:spacing w:after="0"/>
        <w:rPr>
          <w:sz w:val="20"/>
          <w:szCs w:val="20"/>
        </w:rPr>
      </w:pPr>
      <w:r w:rsidRPr="00865229">
        <w:rPr>
          <w:sz w:val="20"/>
          <w:szCs w:val="20"/>
        </w:rPr>
        <w:t>En</w:t>
      </w:r>
      <w:r w:rsidR="00943D2C">
        <w:rPr>
          <w:sz w:val="20"/>
          <w:szCs w:val="20"/>
        </w:rPr>
        <w:t xml:space="preserve"> la Ribera Sur, se proponía el C</w:t>
      </w:r>
      <w:r w:rsidRPr="00865229">
        <w:rPr>
          <w:sz w:val="20"/>
          <w:szCs w:val="20"/>
        </w:rPr>
        <w:t xml:space="preserve">anal </w:t>
      </w:r>
      <w:r w:rsidR="00943D2C">
        <w:rPr>
          <w:sz w:val="20"/>
          <w:szCs w:val="20"/>
        </w:rPr>
        <w:t xml:space="preserve">de Navarra </w:t>
      </w:r>
      <w:r w:rsidRPr="00865229">
        <w:rPr>
          <w:sz w:val="20"/>
          <w:szCs w:val="20"/>
        </w:rPr>
        <w:t>como única fuente, las propuestas actuales mantienen el actual abastecimiento de Arguedas y Valtierra  desde el Ferial (Yesa) y ponen en duda el abastecimiento actual desde el Queiles.</w:t>
      </w:r>
    </w:p>
    <w:p w:rsidR="00D651BE" w:rsidRDefault="00D651BE">
      <w:pPr>
        <w:pStyle w:val="Textonotapie"/>
      </w:pPr>
    </w:p>
  </w:footnote>
  <w:footnote w:id="3">
    <w:p w:rsidR="00145DF5" w:rsidRDefault="00145DF5">
      <w:pPr>
        <w:pStyle w:val="Textonotapie"/>
      </w:pPr>
      <w:r>
        <w:rPr>
          <w:rStyle w:val="Refdenotaalpie"/>
        </w:rPr>
        <w:footnoteRef/>
      </w:r>
      <w:r>
        <w:t xml:space="preserve"> El Plan propone los objetivos de ACR para 2030 de 20% para los municipios mayores de 2.500 </w:t>
      </w:r>
      <w:proofErr w:type="spellStart"/>
      <w:r>
        <w:t>hab</w:t>
      </w:r>
      <w:proofErr w:type="spellEnd"/>
      <w:r>
        <w:t xml:space="preserve"> y de 30% para los menores de 2.500 </w:t>
      </w:r>
      <w:proofErr w:type="spellStart"/>
      <w:r>
        <w:t>hab</w:t>
      </w:r>
      <w:proofErr w:type="spellEnd"/>
      <w:r>
        <w:t>, teniendo en cuenta que en estas zonas casi todos los pueblos son mayores de 2.500, el porcentaje debería acercarse al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CB4"/>
    <w:multiLevelType w:val="hybridMultilevel"/>
    <w:tmpl w:val="7E2011E2"/>
    <w:lvl w:ilvl="0" w:tplc="99AC0956">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9B30D25"/>
    <w:multiLevelType w:val="hybridMultilevel"/>
    <w:tmpl w:val="581ED0E2"/>
    <w:lvl w:ilvl="0" w:tplc="694E5CA4">
      <w:start w:val="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BB17E60"/>
    <w:multiLevelType w:val="hybridMultilevel"/>
    <w:tmpl w:val="0958D18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1C546D8"/>
    <w:multiLevelType w:val="hybridMultilevel"/>
    <w:tmpl w:val="2F68384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5137E7B"/>
    <w:multiLevelType w:val="hybridMultilevel"/>
    <w:tmpl w:val="DB8C049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BD94066"/>
    <w:multiLevelType w:val="hybridMultilevel"/>
    <w:tmpl w:val="7A7A1E5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F403BEA"/>
    <w:multiLevelType w:val="hybridMultilevel"/>
    <w:tmpl w:val="A4444B12"/>
    <w:lvl w:ilvl="0" w:tplc="694E5CA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76B0B"/>
    <w:multiLevelType w:val="hybridMultilevel"/>
    <w:tmpl w:val="3D008C20"/>
    <w:lvl w:ilvl="0" w:tplc="A6DA99BC">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8D30C3D"/>
    <w:multiLevelType w:val="hybridMultilevel"/>
    <w:tmpl w:val="462C5A6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E920413"/>
    <w:multiLevelType w:val="hybridMultilevel"/>
    <w:tmpl w:val="E156409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3890108"/>
    <w:multiLevelType w:val="hybridMultilevel"/>
    <w:tmpl w:val="923C83F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6E20815"/>
    <w:multiLevelType w:val="hybridMultilevel"/>
    <w:tmpl w:val="6C18401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10"/>
  </w:num>
  <w:num w:numId="6">
    <w:abstractNumId w:val="3"/>
  </w:num>
  <w:num w:numId="7">
    <w:abstractNumId w:val="8"/>
  </w:num>
  <w:num w:numId="8">
    <w:abstractNumId w:val="4"/>
  </w:num>
  <w:num w:numId="9">
    <w:abstractNumId w:val="11"/>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7B2"/>
    <w:rsid w:val="00001B46"/>
    <w:rsid w:val="00003642"/>
    <w:rsid w:val="00025C08"/>
    <w:rsid w:val="000976A3"/>
    <w:rsid w:val="000C343F"/>
    <w:rsid w:val="000C3A9B"/>
    <w:rsid w:val="000C7EFC"/>
    <w:rsid w:val="000D5439"/>
    <w:rsid w:val="00145DF5"/>
    <w:rsid w:val="00161B04"/>
    <w:rsid w:val="001804CE"/>
    <w:rsid w:val="001D2E18"/>
    <w:rsid w:val="00212B5A"/>
    <w:rsid w:val="00227EE7"/>
    <w:rsid w:val="00233696"/>
    <w:rsid w:val="00234D39"/>
    <w:rsid w:val="00235ABB"/>
    <w:rsid w:val="00245F9C"/>
    <w:rsid w:val="002B003C"/>
    <w:rsid w:val="002B35D9"/>
    <w:rsid w:val="002E2E3C"/>
    <w:rsid w:val="00346DF0"/>
    <w:rsid w:val="0035467C"/>
    <w:rsid w:val="00370EDC"/>
    <w:rsid w:val="003C0917"/>
    <w:rsid w:val="003C6388"/>
    <w:rsid w:val="00430A7F"/>
    <w:rsid w:val="00431C8A"/>
    <w:rsid w:val="00436EBA"/>
    <w:rsid w:val="0045345F"/>
    <w:rsid w:val="00464642"/>
    <w:rsid w:val="00470FF4"/>
    <w:rsid w:val="004716EF"/>
    <w:rsid w:val="00475E69"/>
    <w:rsid w:val="00480BC4"/>
    <w:rsid w:val="00493A54"/>
    <w:rsid w:val="004B7A60"/>
    <w:rsid w:val="00515F09"/>
    <w:rsid w:val="00533BCC"/>
    <w:rsid w:val="00581C42"/>
    <w:rsid w:val="00590C6D"/>
    <w:rsid w:val="00591944"/>
    <w:rsid w:val="00597212"/>
    <w:rsid w:val="005B54CF"/>
    <w:rsid w:val="006005C5"/>
    <w:rsid w:val="00600F67"/>
    <w:rsid w:val="00606DB4"/>
    <w:rsid w:val="006936DD"/>
    <w:rsid w:val="006D6ECB"/>
    <w:rsid w:val="006E396D"/>
    <w:rsid w:val="00705C13"/>
    <w:rsid w:val="00710E21"/>
    <w:rsid w:val="007E7945"/>
    <w:rsid w:val="007F43B6"/>
    <w:rsid w:val="008015ED"/>
    <w:rsid w:val="00865229"/>
    <w:rsid w:val="00870351"/>
    <w:rsid w:val="00881417"/>
    <w:rsid w:val="00897B93"/>
    <w:rsid w:val="008B3D11"/>
    <w:rsid w:val="008B5310"/>
    <w:rsid w:val="008D7415"/>
    <w:rsid w:val="008F010A"/>
    <w:rsid w:val="009152F6"/>
    <w:rsid w:val="00926AC7"/>
    <w:rsid w:val="00943D2C"/>
    <w:rsid w:val="00950D4B"/>
    <w:rsid w:val="00951A96"/>
    <w:rsid w:val="00997AEC"/>
    <w:rsid w:val="009B79E2"/>
    <w:rsid w:val="009C6261"/>
    <w:rsid w:val="009E3292"/>
    <w:rsid w:val="009E61C0"/>
    <w:rsid w:val="009F5A70"/>
    <w:rsid w:val="00A15233"/>
    <w:rsid w:val="00A45097"/>
    <w:rsid w:val="00A4630D"/>
    <w:rsid w:val="00A553BB"/>
    <w:rsid w:val="00A710BF"/>
    <w:rsid w:val="00A77E26"/>
    <w:rsid w:val="00AC6E50"/>
    <w:rsid w:val="00AE455A"/>
    <w:rsid w:val="00B20631"/>
    <w:rsid w:val="00B34925"/>
    <w:rsid w:val="00B45EAD"/>
    <w:rsid w:val="00B63CBF"/>
    <w:rsid w:val="00B64F0D"/>
    <w:rsid w:val="00BA2C0A"/>
    <w:rsid w:val="00BC2838"/>
    <w:rsid w:val="00C05962"/>
    <w:rsid w:val="00C1454E"/>
    <w:rsid w:val="00C40269"/>
    <w:rsid w:val="00C41636"/>
    <w:rsid w:val="00C93D3F"/>
    <w:rsid w:val="00C966C4"/>
    <w:rsid w:val="00C96D05"/>
    <w:rsid w:val="00CA6020"/>
    <w:rsid w:val="00CE37AC"/>
    <w:rsid w:val="00D2116B"/>
    <w:rsid w:val="00D27C2E"/>
    <w:rsid w:val="00D30009"/>
    <w:rsid w:val="00D40390"/>
    <w:rsid w:val="00D42FA2"/>
    <w:rsid w:val="00D520BD"/>
    <w:rsid w:val="00D651BE"/>
    <w:rsid w:val="00D96A1D"/>
    <w:rsid w:val="00DA5F93"/>
    <w:rsid w:val="00DE4069"/>
    <w:rsid w:val="00E04787"/>
    <w:rsid w:val="00E1236C"/>
    <w:rsid w:val="00E152E2"/>
    <w:rsid w:val="00E37D56"/>
    <w:rsid w:val="00E447B2"/>
    <w:rsid w:val="00E50BEA"/>
    <w:rsid w:val="00EB0518"/>
    <w:rsid w:val="00EB26FC"/>
    <w:rsid w:val="00F31FD8"/>
    <w:rsid w:val="00F42C46"/>
    <w:rsid w:val="00F479DB"/>
    <w:rsid w:val="00FA7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7EFC"/>
    <w:pPr>
      <w:ind w:left="720"/>
      <w:contextualSpacing/>
    </w:pPr>
  </w:style>
  <w:style w:type="paragraph" w:styleId="Textonotapie">
    <w:name w:val="footnote text"/>
    <w:basedOn w:val="Normal"/>
    <w:link w:val="TextonotapieCar"/>
    <w:uiPriority w:val="99"/>
    <w:semiHidden/>
    <w:unhideWhenUsed/>
    <w:rsid w:val="00001B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1B46"/>
    <w:rPr>
      <w:sz w:val="20"/>
      <w:szCs w:val="20"/>
    </w:rPr>
  </w:style>
  <w:style w:type="character" w:styleId="Refdenotaalpie">
    <w:name w:val="footnote reference"/>
    <w:basedOn w:val="Fuentedeprrafopredeter"/>
    <w:uiPriority w:val="99"/>
    <w:semiHidden/>
    <w:unhideWhenUsed/>
    <w:rsid w:val="00001B46"/>
    <w:rPr>
      <w:vertAlign w:val="superscript"/>
    </w:rPr>
  </w:style>
  <w:style w:type="character" w:styleId="Hipervnculo">
    <w:name w:val="Hyperlink"/>
    <w:basedOn w:val="Fuentedeprrafopredeter"/>
    <w:uiPriority w:val="99"/>
    <w:unhideWhenUsed/>
    <w:rsid w:val="008F010A"/>
    <w:rPr>
      <w:color w:val="0000FF" w:themeColor="hyperlink"/>
      <w:u w:val="single"/>
    </w:rPr>
  </w:style>
  <w:style w:type="character" w:styleId="Hipervnculovisitado">
    <w:name w:val="FollowedHyperlink"/>
    <w:basedOn w:val="Fuentedeprrafopredeter"/>
    <w:uiPriority w:val="99"/>
    <w:semiHidden/>
    <w:unhideWhenUsed/>
    <w:rsid w:val="00600F67"/>
    <w:rPr>
      <w:color w:val="800080" w:themeColor="followedHyperlink"/>
      <w:u w:val="single"/>
    </w:rPr>
  </w:style>
  <w:style w:type="paragraph" w:styleId="Encabezado">
    <w:name w:val="header"/>
    <w:basedOn w:val="Normal"/>
    <w:link w:val="EncabezadoCar"/>
    <w:uiPriority w:val="99"/>
    <w:semiHidden/>
    <w:unhideWhenUsed/>
    <w:rsid w:val="00606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06DB4"/>
  </w:style>
  <w:style w:type="paragraph" w:styleId="Piedepgina">
    <w:name w:val="footer"/>
    <w:basedOn w:val="Normal"/>
    <w:link w:val="PiedepginaCar"/>
    <w:uiPriority w:val="99"/>
    <w:semiHidden/>
    <w:unhideWhenUsed/>
    <w:rsid w:val="00606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06DB4"/>
  </w:style>
  <w:style w:type="table" w:styleId="Tablaconcuadrcula">
    <w:name w:val="Table Grid"/>
    <w:basedOn w:val="Tablanormal"/>
    <w:uiPriority w:val="59"/>
    <w:rsid w:val="0037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7DB46-67F6-4603-9666-D75FB1B8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2603</Words>
  <Characters>14320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ETXEA</cp:lastModifiedBy>
  <cp:revision>7</cp:revision>
  <dcterms:created xsi:type="dcterms:W3CDTF">2018-02-20T10:01:00Z</dcterms:created>
  <dcterms:modified xsi:type="dcterms:W3CDTF">2018-02-23T17:42:00Z</dcterms:modified>
</cp:coreProperties>
</file>